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60" w:rsidRPr="009F21D4" w:rsidRDefault="00D50760" w:rsidP="00D50760">
      <w:pPr>
        <w:rPr>
          <w:sz w:val="20"/>
        </w:rPr>
      </w:pPr>
      <w:r w:rsidRPr="009F21D4">
        <w:rPr>
          <w:sz w:val="20"/>
        </w:rPr>
        <w:t>Working Group Name:</w:t>
      </w:r>
    </w:p>
    <w:p w:rsidR="00D50760" w:rsidRPr="009F21D4" w:rsidRDefault="003C18AF" w:rsidP="00D50760">
      <w:pPr>
        <w:rPr>
          <w:sz w:val="20"/>
        </w:rPr>
      </w:pPr>
      <w:r>
        <w:rPr>
          <w:sz w:val="20"/>
        </w:rPr>
        <w:tab/>
      </w:r>
      <w:r w:rsidR="00D50760" w:rsidRPr="009F21D4">
        <w:rPr>
          <w:sz w:val="20"/>
        </w:rPr>
        <w:t>Interfaces to the Routing System (IRS)</w:t>
      </w:r>
    </w:p>
    <w:p w:rsidR="00D50760" w:rsidRPr="009F21D4" w:rsidRDefault="00D50760" w:rsidP="00D50760">
      <w:pPr>
        <w:rPr>
          <w:sz w:val="20"/>
        </w:rPr>
      </w:pPr>
    </w:p>
    <w:p w:rsidR="00D50760" w:rsidRPr="009F21D4" w:rsidRDefault="00D50760" w:rsidP="00D50760">
      <w:pPr>
        <w:rPr>
          <w:sz w:val="20"/>
        </w:rPr>
      </w:pPr>
      <w:r w:rsidRPr="009F21D4">
        <w:rPr>
          <w:sz w:val="20"/>
        </w:rPr>
        <w:t>IETF Area:</w:t>
      </w:r>
    </w:p>
    <w:p w:rsidR="00D50760" w:rsidRPr="009F21D4" w:rsidRDefault="003C18AF" w:rsidP="00D50760">
      <w:pPr>
        <w:rPr>
          <w:sz w:val="20"/>
        </w:rPr>
      </w:pPr>
      <w:r>
        <w:rPr>
          <w:sz w:val="20"/>
        </w:rPr>
        <w:tab/>
      </w:r>
      <w:r w:rsidR="00D50760" w:rsidRPr="009F21D4">
        <w:rPr>
          <w:sz w:val="20"/>
        </w:rPr>
        <w:t>Routing Area</w:t>
      </w:r>
    </w:p>
    <w:p w:rsidR="00614035" w:rsidRPr="009F21D4" w:rsidRDefault="00614035" w:rsidP="00D50760">
      <w:pPr>
        <w:rPr>
          <w:sz w:val="20"/>
        </w:rPr>
      </w:pPr>
    </w:p>
    <w:p w:rsidR="00D50760" w:rsidRPr="009F21D4" w:rsidRDefault="00D50760" w:rsidP="00D50760">
      <w:pPr>
        <w:rPr>
          <w:sz w:val="20"/>
        </w:rPr>
      </w:pPr>
      <w:r w:rsidRPr="009F21D4">
        <w:rPr>
          <w:sz w:val="20"/>
        </w:rPr>
        <w:t>Chair(s):</w:t>
      </w:r>
    </w:p>
    <w:p w:rsidR="00D50760" w:rsidRPr="009F21D4" w:rsidRDefault="003C18AF" w:rsidP="00D50760">
      <w:pPr>
        <w:rPr>
          <w:sz w:val="20"/>
        </w:rPr>
      </w:pPr>
      <w:r>
        <w:rPr>
          <w:sz w:val="20"/>
        </w:rPr>
        <w:tab/>
      </w:r>
      <w:r w:rsidR="00D50760" w:rsidRPr="009F21D4">
        <w:rPr>
          <w:sz w:val="20"/>
        </w:rPr>
        <w:t>TBD</w:t>
      </w:r>
    </w:p>
    <w:p w:rsidR="00D50760" w:rsidRPr="009F21D4" w:rsidRDefault="00D50760" w:rsidP="00D50760">
      <w:pPr>
        <w:rPr>
          <w:sz w:val="20"/>
        </w:rPr>
      </w:pPr>
      <w:r w:rsidRPr="009F21D4">
        <w:rPr>
          <w:sz w:val="20"/>
        </w:rPr>
        <w:t>Routing Area Director(s):</w:t>
      </w:r>
    </w:p>
    <w:p w:rsidR="00D50760" w:rsidRPr="009F21D4" w:rsidRDefault="003C18AF" w:rsidP="00D50760">
      <w:pPr>
        <w:rPr>
          <w:sz w:val="20"/>
        </w:rPr>
      </w:pPr>
      <w:r>
        <w:rPr>
          <w:sz w:val="20"/>
        </w:rPr>
        <w:tab/>
      </w:r>
      <w:r w:rsidR="00D50760" w:rsidRPr="009F21D4">
        <w:rPr>
          <w:sz w:val="20"/>
        </w:rPr>
        <w:t>Adrian Farrel &lt;adrian@olddog.co.uk&gt;</w:t>
      </w:r>
    </w:p>
    <w:p w:rsidR="00D50760" w:rsidRPr="009F21D4" w:rsidRDefault="00D50760" w:rsidP="00D50760">
      <w:pPr>
        <w:rPr>
          <w:sz w:val="20"/>
        </w:rPr>
      </w:pPr>
      <w:r w:rsidRPr="009F21D4">
        <w:rPr>
          <w:sz w:val="20"/>
        </w:rPr>
        <w:t>Routing Area Advisor:</w:t>
      </w:r>
    </w:p>
    <w:p w:rsidR="00D50760" w:rsidRDefault="003C18AF" w:rsidP="00D50760">
      <w:pPr>
        <w:rPr>
          <w:sz w:val="20"/>
        </w:rPr>
      </w:pPr>
      <w:r>
        <w:rPr>
          <w:sz w:val="20"/>
        </w:rPr>
        <w:tab/>
      </w:r>
      <w:r w:rsidR="00D50760" w:rsidRPr="009F21D4">
        <w:rPr>
          <w:sz w:val="20"/>
        </w:rPr>
        <w:t>Adrian Farrel &lt;adrian@olddog.co.uk&gt;</w:t>
      </w:r>
    </w:p>
    <w:p w:rsidR="00C54325" w:rsidRDefault="003C18AF" w:rsidP="00D50760">
      <w:pPr>
        <w:rPr>
          <w:sz w:val="20"/>
        </w:rPr>
      </w:pPr>
      <w:r>
        <w:rPr>
          <w:sz w:val="20"/>
        </w:rPr>
        <w:t>Operations Area Advisor:</w:t>
      </w:r>
    </w:p>
    <w:p w:rsidR="003C18AF" w:rsidRPr="009F21D4" w:rsidRDefault="003C18AF" w:rsidP="00D50760">
      <w:pPr>
        <w:rPr>
          <w:sz w:val="20"/>
        </w:rPr>
      </w:pPr>
      <w:r>
        <w:rPr>
          <w:sz w:val="20"/>
        </w:rPr>
        <w:tab/>
        <w:t>TBD</w:t>
      </w:r>
    </w:p>
    <w:p w:rsidR="00D50760" w:rsidRPr="009F21D4" w:rsidRDefault="00D50760" w:rsidP="00D50760">
      <w:pPr>
        <w:rPr>
          <w:sz w:val="20"/>
        </w:rPr>
      </w:pPr>
    </w:p>
    <w:p w:rsidR="00D50760" w:rsidRPr="009F21D4" w:rsidRDefault="00D50760" w:rsidP="00D50760">
      <w:pPr>
        <w:rPr>
          <w:sz w:val="20"/>
        </w:rPr>
      </w:pPr>
      <w:r w:rsidRPr="009F21D4">
        <w:rPr>
          <w:sz w:val="20"/>
        </w:rPr>
        <w:t>Mailing Lists:</w:t>
      </w:r>
    </w:p>
    <w:p w:rsidR="00D50760" w:rsidRPr="009F21D4" w:rsidRDefault="00D50760" w:rsidP="00D50760">
      <w:pPr>
        <w:rPr>
          <w:sz w:val="20"/>
        </w:rPr>
      </w:pPr>
      <w:r w:rsidRPr="009F21D4">
        <w:rPr>
          <w:sz w:val="20"/>
        </w:rPr>
        <w:t xml:space="preserve">        General Discussion: irs-discuss@ietf.org</w:t>
      </w:r>
    </w:p>
    <w:p w:rsidR="00D50760" w:rsidRPr="009F21D4" w:rsidRDefault="005B0A15" w:rsidP="00D50760">
      <w:pPr>
        <w:rPr>
          <w:sz w:val="20"/>
        </w:rPr>
      </w:pPr>
      <w:r w:rsidRPr="009F21D4">
        <w:rPr>
          <w:sz w:val="20"/>
        </w:rPr>
        <w:t xml:space="preserve">        To Subscribe: </w:t>
      </w:r>
      <w:r w:rsidR="00D50760" w:rsidRPr="009F21D4">
        <w:rPr>
          <w:sz w:val="20"/>
        </w:rPr>
        <w:t>https://www.ietf.org/mailman/listinfo/irs-discuss</w:t>
      </w:r>
    </w:p>
    <w:p w:rsidR="00D50760" w:rsidRPr="009F21D4" w:rsidRDefault="005B0A15" w:rsidP="00D50760">
      <w:pPr>
        <w:rPr>
          <w:sz w:val="20"/>
        </w:rPr>
      </w:pPr>
      <w:r w:rsidRPr="009F21D4">
        <w:rPr>
          <w:sz w:val="20"/>
        </w:rPr>
        <w:t xml:space="preserve">        Archive:</w:t>
      </w:r>
      <w:r w:rsidR="00C66CB4" w:rsidRPr="009F21D4">
        <w:rPr>
          <w:sz w:val="20"/>
        </w:rPr>
        <w:t xml:space="preserve"> </w:t>
      </w:r>
      <w:r w:rsidR="00D50760" w:rsidRPr="009F21D4">
        <w:rPr>
          <w:sz w:val="20"/>
        </w:rPr>
        <w:t>http://ww</w:t>
      </w:r>
      <w:r w:rsidRPr="009F21D4">
        <w:rPr>
          <w:sz w:val="20"/>
        </w:rPr>
        <w:t>w.ietf.org/mail-archive/web/irs-</w:t>
      </w:r>
      <w:r w:rsidR="009F21D4" w:rsidRPr="009F21D4">
        <w:rPr>
          <w:sz w:val="20"/>
        </w:rPr>
        <w:t>d</w:t>
      </w:r>
      <w:r w:rsidR="00D50760" w:rsidRPr="009F21D4">
        <w:rPr>
          <w:sz w:val="20"/>
        </w:rPr>
        <w:t>iscuss/current/maillist.html</w:t>
      </w:r>
    </w:p>
    <w:p w:rsidR="00D50760" w:rsidRPr="009F21D4" w:rsidRDefault="00D50760" w:rsidP="00D50760">
      <w:pPr>
        <w:rPr>
          <w:sz w:val="20"/>
        </w:rPr>
      </w:pPr>
    </w:p>
    <w:p w:rsidR="00D50760" w:rsidRPr="009F21D4" w:rsidRDefault="00D50760" w:rsidP="00D50760">
      <w:pPr>
        <w:rPr>
          <w:sz w:val="20"/>
        </w:rPr>
      </w:pPr>
      <w:r w:rsidRPr="009F21D4">
        <w:rPr>
          <w:sz w:val="20"/>
        </w:rPr>
        <w:t>Description of Working Group:</w:t>
      </w:r>
    </w:p>
    <w:p w:rsidR="00614035" w:rsidRPr="009F21D4" w:rsidRDefault="00614035" w:rsidP="00D50760">
      <w:pPr>
        <w:rPr>
          <w:sz w:val="20"/>
        </w:rPr>
      </w:pPr>
    </w:p>
    <w:p w:rsidR="00985AEE" w:rsidRDefault="003C18AF" w:rsidP="00985AEE">
      <w:pPr>
        <w:rPr>
          <w:sz w:val="20"/>
        </w:rPr>
      </w:pPr>
      <w:r>
        <w:rPr>
          <w:sz w:val="20"/>
        </w:rPr>
        <w:t xml:space="preserve">A routing system is all or part of a routing network such as an interface, </w:t>
      </w:r>
      <w:r w:rsidR="00963C2F">
        <w:rPr>
          <w:sz w:val="20"/>
        </w:rPr>
        <w:t xml:space="preserve">a collection of interfaces, a router, or a collection of routers.  </w:t>
      </w:r>
      <w:r w:rsidR="00D50760" w:rsidRPr="009F21D4">
        <w:rPr>
          <w:sz w:val="20"/>
        </w:rPr>
        <w:t>Interfaces to the Routing System (IRS)</w:t>
      </w:r>
      <w:r>
        <w:rPr>
          <w:sz w:val="20"/>
        </w:rPr>
        <w:t xml:space="preserve"> facilitate</w:t>
      </w:r>
      <w:r w:rsidRPr="009F21D4">
        <w:rPr>
          <w:sz w:val="20"/>
        </w:rPr>
        <w:t xml:space="preserve"> real-time or event driven interaction with the routing system</w:t>
      </w:r>
      <w:r w:rsidR="00963C2F">
        <w:rPr>
          <w:sz w:val="20"/>
        </w:rPr>
        <w:t>. These allow information, policies, and operational parameters</w:t>
      </w:r>
      <w:r w:rsidR="00985AEE">
        <w:rPr>
          <w:sz w:val="20"/>
        </w:rPr>
        <w:t xml:space="preserve"> to be injected into and retrieved </w:t>
      </w:r>
      <w:r w:rsidR="009652C8">
        <w:rPr>
          <w:sz w:val="20"/>
        </w:rPr>
        <w:t xml:space="preserve">(as read or notification) </w:t>
      </w:r>
      <w:r w:rsidR="00985AEE">
        <w:rPr>
          <w:sz w:val="20"/>
        </w:rPr>
        <w:t xml:space="preserve">from the routing system while retaining </w:t>
      </w:r>
      <w:r w:rsidRPr="009F21D4">
        <w:rPr>
          <w:sz w:val="20"/>
        </w:rPr>
        <w:t>data consistency and coherency</w:t>
      </w:r>
      <w:r w:rsidR="00985AEE">
        <w:rPr>
          <w:sz w:val="20"/>
        </w:rPr>
        <w:t xml:space="preserve"> across the routers and routing infrastructure, and between multiple interactions with the routing system</w:t>
      </w:r>
      <w:r w:rsidRPr="009F21D4">
        <w:rPr>
          <w:sz w:val="20"/>
        </w:rPr>
        <w:t>.</w:t>
      </w:r>
    </w:p>
    <w:p w:rsidR="003C18AF" w:rsidRDefault="003C18AF" w:rsidP="00985AEE">
      <w:pPr>
        <w:rPr>
          <w:sz w:val="20"/>
        </w:rPr>
      </w:pPr>
      <w:r w:rsidRPr="009F21D4">
        <w:rPr>
          <w:sz w:val="20"/>
        </w:rPr>
        <w:t xml:space="preserve">  </w:t>
      </w:r>
    </w:p>
    <w:p w:rsidR="00985AEE" w:rsidRDefault="00985AEE" w:rsidP="00985AEE">
      <w:pPr>
        <w:rPr>
          <w:sz w:val="20"/>
        </w:rPr>
      </w:pPr>
      <w:r>
        <w:rPr>
          <w:sz w:val="20"/>
        </w:rPr>
        <w:t>Thus, the IRS is a "fast path" that can be used to program routing and policy state in a router using operational paradigms familiar to operators of traditional distributed devices. This differs from the programmatic "slow state" that is commonly a device's configuration interface because those mechanisms impose many transactional mechanisms and requirements</w:t>
      </w:r>
      <w:r w:rsidR="009652C8">
        <w:rPr>
          <w:sz w:val="20"/>
        </w:rPr>
        <w:t>, that may slow down the interaction</w:t>
      </w:r>
      <w:r>
        <w:rPr>
          <w:sz w:val="20"/>
        </w:rPr>
        <w:t>.</w:t>
      </w:r>
    </w:p>
    <w:p w:rsidR="00985AEE" w:rsidRDefault="00985AEE" w:rsidP="00985AEE">
      <w:pPr>
        <w:rPr>
          <w:sz w:val="20"/>
        </w:rPr>
      </w:pPr>
    </w:p>
    <w:p w:rsidR="00985AEE" w:rsidRPr="009F21D4" w:rsidRDefault="00985AEE" w:rsidP="00985AEE">
      <w:pPr>
        <w:rPr>
          <w:sz w:val="20"/>
        </w:rPr>
      </w:pPr>
      <w:r>
        <w:rPr>
          <w:sz w:val="20"/>
        </w:rPr>
        <w:t>The IRS working group works to develop a framework and architecture that will enable specific use cases</w:t>
      </w:r>
      <w:r w:rsidR="009652C8">
        <w:rPr>
          <w:sz w:val="20"/>
        </w:rPr>
        <w:t>,</w:t>
      </w:r>
      <w:r>
        <w:rPr>
          <w:sz w:val="20"/>
        </w:rPr>
        <w:t xml:space="preserve"> and lead to an understanding of the informational models and requirements for encodings and protocols.</w:t>
      </w:r>
      <w:r w:rsidR="00D01DBC">
        <w:rPr>
          <w:sz w:val="20"/>
        </w:rPr>
        <w:t xml:space="preserve"> Small and well-scoped use cases are </w:t>
      </w:r>
      <w:r w:rsidR="009652C8">
        <w:rPr>
          <w:sz w:val="20"/>
        </w:rPr>
        <w:t>critical to constrain the scope of the work and achieve sufficient focus for the working group to deliver successfully.</w:t>
      </w:r>
      <w:r w:rsidR="00481773">
        <w:rPr>
          <w:sz w:val="20"/>
        </w:rPr>
        <w:t xml:space="preserve"> </w:t>
      </w:r>
      <w:r w:rsidR="00503AD6">
        <w:rPr>
          <w:sz w:val="20"/>
        </w:rPr>
        <w:t>Initial work within the working group will be limited to within a single administrative domain.</w:t>
      </w:r>
    </w:p>
    <w:p w:rsidR="00D50760" w:rsidRDefault="00D50760" w:rsidP="00D50760">
      <w:pPr>
        <w:rPr>
          <w:sz w:val="20"/>
        </w:rPr>
      </w:pPr>
    </w:p>
    <w:p w:rsidR="00985AEE" w:rsidRDefault="00985AEE" w:rsidP="00D50760">
      <w:pPr>
        <w:rPr>
          <w:sz w:val="20"/>
        </w:rPr>
      </w:pPr>
      <w:r>
        <w:rPr>
          <w:sz w:val="20"/>
        </w:rPr>
        <w:t>The working group is chartered to work on the following items:</w:t>
      </w:r>
    </w:p>
    <w:p w:rsidR="00985AEE" w:rsidRDefault="00985AEE" w:rsidP="00D50760">
      <w:pPr>
        <w:rPr>
          <w:sz w:val="20"/>
        </w:rPr>
      </w:pPr>
    </w:p>
    <w:p w:rsidR="00985AEE" w:rsidRPr="009F60C8" w:rsidRDefault="00985AEE" w:rsidP="009F60C8">
      <w:pPr>
        <w:pStyle w:val="ListParagraph"/>
        <w:numPr>
          <w:ilvl w:val="0"/>
          <w:numId w:val="2"/>
        </w:numPr>
        <w:ind w:left="360"/>
        <w:rPr>
          <w:sz w:val="20"/>
        </w:rPr>
      </w:pPr>
      <w:r w:rsidRPr="009F60C8">
        <w:rPr>
          <w:sz w:val="20"/>
        </w:rPr>
        <w:t>Architecture and framework for IRS</w:t>
      </w:r>
      <w:r w:rsidR="00E05B90">
        <w:rPr>
          <w:sz w:val="20"/>
        </w:rPr>
        <w:t xml:space="preserve"> including consideration</w:t>
      </w:r>
      <w:r w:rsidR="009652C8">
        <w:rPr>
          <w:sz w:val="20"/>
        </w:rPr>
        <w:t>s</w:t>
      </w:r>
      <w:r w:rsidR="00E05B90">
        <w:rPr>
          <w:sz w:val="20"/>
        </w:rPr>
        <w:t xml:space="preserve"> of policy and security</w:t>
      </w:r>
    </w:p>
    <w:p w:rsidR="00985AEE" w:rsidRDefault="00985AEE" w:rsidP="009F60C8">
      <w:pPr>
        <w:rPr>
          <w:sz w:val="20"/>
        </w:rPr>
      </w:pPr>
    </w:p>
    <w:p w:rsidR="00985AEE" w:rsidRDefault="00D01DBC" w:rsidP="009F60C8">
      <w:pPr>
        <w:pStyle w:val="ListParagraph"/>
        <w:numPr>
          <w:ilvl w:val="0"/>
          <w:numId w:val="2"/>
        </w:numPr>
        <w:ind w:left="360"/>
        <w:rPr>
          <w:sz w:val="20"/>
        </w:rPr>
      </w:pPr>
      <w:r>
        <w:rPr>
          <w:sz w:val="20"/>
        </w:rPr>
        <w:t>Tightly scoped k</w:t>
      </w:r>
      <w:r w:rsidR="009F60C8" w:rsidRPr="009F60C8">
        <w:rPr>
          <w:sz w:val="20"/>
        </w:rPr>
        <w:t>ey use cases for operational use of IRS</w:t>
      </w:r>
      <w:r w:rsidR="000C2BB5">
        <w:rPr>
          <w:sz w:val="20"/>
        </w:rPr>
        <w:t>. These use cases will include at least:</w:t>
      </w:r>
    </w:p>
    <w:p w:rsidR="000C2BB5" w:rsidRDefault="000C2BB5" w:rsidP="000C2BB5">
      <w:pPr>
        <w:pStyle w:val="ListParagraph"/>
        <w:numPr>
          <w:ilvl w:val="1"/>
          <w:numId w:val="2"/>
        </w:numPr>
        <w:rPr>
          <w:sz w:val="20"/>
        </w:rPr>
      </w:pPr>
      <w:r>
        <w:rPr>
          <w:sz w:val="20"/>
        </w:rPr>
        <w:t>Interactions with the RIB</w:t>
      </w:r>
    </w:p>
    <w:p w:rsidR="000C2BB5" w:rsidRDefault="00D01DBC" w:rsidP="000C2BB5">
      <w:pPr>
        <w:pStyle w:val="ListParagraph"/>
        <w:numPr>
          <w:ilvl w:val="1"/>
          <w:numId w:val="2"/>
        </w:numPr>
        <w:rPr>
          <w:sz w:val="20"/>
        </w:rPr>
      </w:pPr>
      <w:r>
        <w:rPr>
          <w:sz w:val="20"/>
        </w:rPr>
        <w:t>Association o</w:t>
      </w:r>
      <w:r w:rsidR="000C2BB5">
        <w:rPr>
          <w:sz w:val="20"/>
        </w:rPr>
        <w:t>f routing policies</w:t>
      </w:r>
      <w:r>
        <w:rPr>
          <w:sz w:val="20"/>
        </w:rPr>
        <w:t xml:space="preserve"> with routing state</w:t>
      </w:r>
    </w:p>
    <w:p w:rsidR="00D01DBC" w:rsidRDefault="00D01DBC" w:rsidP="000C2BB5">
      <w:pPr>
        <w:pStyle w:val="ListParagraph"/>
        <w:numPr>
          <w:ilvl w:val="1"/>
          <w:numId w:val="2"/>
        </w:numPr>
        <w:rPr>
          <w:sz w:val="20"/>
        </w:rPr>
      </w:pPr>
      <w:r>
        <w:rPr>
          <w:sz w:val="20"/>
        </w:rPr>
        <w:t>The ability to extract information about topology from the network</w:t>
      </w:r>
      <w:r w:rsidR="009652C8">
        <w:rPr>
          <w:sz w:val="20"/>
        </w:rPr>
        <w:t xml:space="preserve">. Injection and creation of topology will </w:t>
      </w:r>
      <w:r w:rsidR="009C6DC9">
        <w:rPr>
          <w:sz w:val="20"/>
        </w:rPr>
        <w:t xml:space="preserve">not </w:t>
      </w:r>
      <w:r w:rsidR="009652C8">
        <w:rPr>
          <w:sz w:val="20"/>
        </w:rPr>
        <w:t xml:space="preserve">be considered as </w:t>
      </w:r>
      <w:r w:rsidR="0002736C">
        <w:rPr>
          <w:sz w:val="20"/>
        </w:rPr>
        <w:t xml:space="preserve">an initial </w:t>
      </w:r>
      <w:r w:rsidR="009652C8">
        <w:rPr>
          <w:sz w:val="20"/>
        </w:rPr>
        <w:t>work item.</w:t>
      </w:r>
    </w:p>
    <w:p w:rsidR="000C2BB5" w:rsidRPr="000C2BB5" w:rsidRDefault="000C2BB5" w:rsidP="000C2BB5">
      <w:pPr>
        <w:ind w:left="360"/>
        <w:rPr>
          <w:sz w:val="20"/>
        </w:rPr>
      </w:pPr>
      <w:r>
        <w:rPr>
          <w:sz w:val="20"/>
        </w:rPr>
        <w:t>Other use cases may be adopted by the working group only after milestones have been added to the charter page.</w:t>
      </w:r>
    </w:p>
    <w:p w:rsidR="009F60C8" w:rsidRDefault="009F60C8" w:rsidP="009F60C8">
      <w:pPr>
        <w:rPr>
          <w:sz w:val="20"/>
        </w:rPr>
      </w:pPr>
    </w:p>
    <w:p w:rsidR="009F60C8" w:rsidRDefault="009F60C8" w:rsidP="009F60C8">
      <w:pPr>
        <w:pStyle w:val="ListParagraph"/>
        <w:numPr>
          <w:ilvl w:val="0"/>
          <w:numId w:val="2"/>
        </w:numPr>
        <w:ind w:left="360"/>
        <w:rPr>
          <w:sz w:val="20"/>
        </w:rPr>
      </w:pPr>
      <w:r w:rsidRPr="009F60C8">
        <w:rPr>
          <w:sz w:val="20"/>
        </w:rPr>
        <w:t>Abstract information models</w:t>
      </w:r>
      <w:r>
        <w:rPr>
          <w:sz w:val="20"/>
        </w:rPr>
        <w:t xml:space="preserve"> consistent with the use cases</w:t>
      </w:r>
    </w:p>
    <w:p w:rsidR="009F60C8" w:rsidRDefault="009F60C8" w:rsidP="009F60C8">
      <w:pPr>
        <w:pStyle w:val="ListParagraph"/>
        <w:ind w:left="360"/>
        <w:rPr>
          <w:sz w:val="20"/>
        </w:rPr>
      </w:pPr>
    </w:p>
    <w:p w:rsidR="00E05B90" w:rsidRDefault="00E05B90" w:rsidP="009F60C8">
      <w:pPr>
        <w:pStyle w:val="ListParagraph"/>
        <w:numPr>
          <w:ilvl w:val="0"/>
          <w:numId w:val="2"/>
        </w:numPr>
        <w:ind w:left="360"/>
        <w:rPr>
          <w:sz w:val="20"/>
        </w:rPr>
      </w:pPr>
      <w:r>
        <w:rPr>
          <w:sz w:val="20"/>
        </w:rPr>
        <w:lastRenderedPageBreak/>
        <w:t>Requirements for IRS protocols and encoding languages</w:t>
      </w:r>
    </w:p>
    <w:p w:rsidR="00E05B90" w:rsidRDefault="00E05B90" w:rsidP="00E05B90">
      <w:pPr>
        <w:pStyle w:val="ListParagraph"/>
        <w:ind w:left="360"/>
        <w:rPr>
          <w:sz w:val="20"/>
        </w:rPr>
      </w:pPr>
    </w:p>
    <w:p w:rsidR="009F60C8" w:rsidRPr="009F60C8" w:rsidRDefault="00E05B90" w:rsidP="009F60C8">
      <w:pPr>
        <w:pStyle w:val="ListParagraph"/>
        <w:numPr>
          <w:ilvl w:val="0"/>
          <w:numId w:val="2"/>
        </w:numPr>
        <w:ind w:left="360"/>
        <w:rPr>
          <w:sz w:val="20"/>
        </w:rPr>
      </w:pPr>
      <w:r>
        <w:rPr>
          <w:sz w:val="20"/>
        </w:rPr>
        <w:t>An analysis of existing IETF and other protocols and encoding languages against the requirements.</w:t>
      </w:r>
    </w:p>
    <w:p w:rsidR="00985AEE" w:rsidRDefault="00985AEE" w:rsidP="00D50760">
      <w:pPr>
        <w:rPr>
          <w:sz w:val="20"/>
        </w:rPr>
      </w:pPr>
    </w:p>
    <w:p w:rsidR="009F60C8" w:rsidRDefault="00E05B90" w:rsidP="00D50760">
      <w:pPr>
        <w:rPr>
          <w:sz w:val="20"/>
        </w:rPr>
      </w:pPr>
      <w:r>
        <w:rPr>
          <w:sz w:val="20"/>
        </w:rPr>
        <w:t xml:space="preserve">The working group is not currently chartered to develop protocols, encoding languages, or data models. The objective of this work effort is to arrive at common standards for these items, but these </w:t>
      </w:r>
      <w:r w:rsidR="000C2BB5">
        <w:rPr>
          <w:sz w:val="20"/>
        </w:rPr>
        <w:t xml:space="preserve">items are dependent on the progress of the topics listed </w:t>
      </w:r>
      <w:r w:rsidR="00D01DBC">
        <w:rPr>
          <w:sz w:val="20"/>
        </w:rPr>
        <w:t>above</w:t>
      </w:r>
      <w:r w:rsidR="008D0B24">
        <w:rPr>
          <w:sz w:val="20"/>
        </w:rPr>
        <w:t>. Work for these items</w:t>
      </w:r>
      <w:r w:rsidR="00D01DBC">
        <w:rPr>
          <w:sz w:val="20"/>
        </w:rPr>
        <w:t xml:space="preserve"> will be conducted in this working group only after a re-charter, </w:t>
      </w:r>
      <w:r w:rsidR="00EB3B1B">
        <w:rPr>
          <w:sz w:val="20"/>
        </w:rPr>
        <w:t>and/</w:t>
      </w:r>
      <w:r w:rsidR="00D01DBC">
        <w:rPr>
          <w:sz w:val="20"/>
        </w:rPr>
        <w:t xml:space="preserve">or may be carried out in another working group with specific responsibility for the protocol or encoding language. </w:t>
      </w:r>
    </w:p>
    <w:p w:rsidR="00985AEE" w:rsidRPr="009F21D4" w:rsidRDefault="00985AEE" w:rsidP="00D50760">
      <w:pPr>
        <w:rPr>
          <w:sz w:val="20"/>
        </w:rPr>
      </w:pPr>
    </w:p>
    <w:p w:rsidR="00D50760" w:rsidRPr="009F21D4" w:rsidRDefault="00D50760" w:rsidP="00D50760">
      <w:pPr>
        <w:rPr>
          <w:sz w:val="20"/>
        </w:rPr>
      </w:pPr>
      <w:r w:rsidRPr="009F21D4">
        <w:rPr>
          <w:sz w:val="20"/>
        </w:rPr>
        <w:t>Goals and Milestones:</w:t>
      </w:r>
    </w:p>
    <w:p w:rsidR="00D50760" w:rsidRPr="009F21D4" w:rsidRDefault="00D50760" w:rsidP="00D50760">
      <w:pPr>
        <w:rPr>
          <w:sz w:val="20"/>
        </w:rPr>
      </w:pPr>
    </w:p>
    <w:p w:rsidR="00D50760" w:rsidRPr="009F21D4" w:rsidRDefault="00D50760" w:rsidP="00D50760">
      <w:pPr>
        <w:rPr>
          <w:sz w:val="20"/>
        </w:rPr>
      </w:pPr>
      <w:r w:rsidRPr="009F21D4">
        <w:rPr>
          <w:sz w:val="20"/>
        </w:rPr>
        <w:t>&lt;TBD&gt;:</w:t>
      </w:r>
      <w:r w:rsidR="0002447D">
        <w:rPr>
          <w:sz w:val="20"/>
        </w:rPr>
        <w:tab/>
      </w:r>
      <w:r w:rsidR="00D01DBC">
        <w:rPr>
          <w:sz w:val="20"/>
        </w:rPr>
        <w:t xml:space="preserve">Request publication of an </w:t>
      </w:r>
      <w:r w:rsidRPr="009F21D4">
        <w:rPr>
          <w:sz w:val="20"/>
        </w:rPr>
        <w:t>Informational document</w:t>
      </w:r>
      <w:r w:rsidR="00D01DBC">
        <w:rPr>
          <w:sz w:val="20"/>
        </w:rPr>
        <w:t xml:space="preserve"> defining the problem statement</w:t>
      </w:r>
    </w:p>
    <w:p w:rsidR="00D50760" w:rsidRPr="009F21D4" w:rsidRDefault="00D50760" w:rsidP="00D50760">
      <w:pPr>
        <w:rPr>
          <w:sz w:val="20"/>
        </w:rPr>
      </w:pPr>
      <w:r w:rsidRPr="009F21D4">
        <w:rPr>
          <w:sz w:val="20"/>
        </w:rPr>
        <w:t>&lt;TBD&gt;:</w:t>
      </w:r>
      <w:r w:rsidR="0002447D">
        <w:rPr>
          <w:sz w:val="20"/>
        </w:rPr>
        <w:tab/>
      </w:r>
      <w:r w:rsidR="00D01DBC">
        <w:rPr>
          <w:sz w:val="20"/>
        </w:rPr>
        <w:t xml:space="preserve">Request publication of an </w:t>
      </w:r>
      <w:r w:rsidRPr="009F21D4">
        <w:rPr>
          <w:sz w:val="20"/>
        </w:rPr>
        <w:t>Informational document defi</w:t>
      </w:r>
      <w:r w:rsidR="005B0A15" w:rsidRPr="009F21D4">
        <w:rPr>
          <w:sz w:val="20"/>
        </w:rPr>
        <w:t>ning the architecture framework</w:t>
      </w:r>
    </w:p>
    <w:p w:rsidR="0002447D" w:rsidRPr="009F21D4" w:rsidRDefault="0002447D" w:rsidP="0002447D">
      <w:pPr>
        <w:rPr>
          <w:sz w:val="20"/>
        </w:rPr>
      </w:pPr>
      <w:r w:rsidRPr="009F21D4">
        <w:rPr>
          <w:sz w:val="20"/>
        </w:rPr>
        <w:t>&lt;TBD&gt;:</w:t>
      </w:r>
      <w:r>
        <w:rPr>
          <w:sz w:val="20"/>
        </w:rPr>
        <w:tab/>
        <w:t xml:space="preserve">Request publication of an </w:t>
      </w:r>
      <w:r w:rsidRPr="009F21D4">
        <w:rPr>
          <w:sz w:val="20"/>
        </w:rPr>
        <w:t xml:space="preserve">Informational document defining general </w:t>
      </w:r>
      <w:r>
        <w:rPr>
          <w:sz w:val="20"/>
        </w:rPr>
        <w:t xml:space="preserve">RIB-based </w:t>
      </w:r>
      <w:r w:rsidRPr="009F21D4">
        <w:rPr>
          <w:sz w:val="20"/>
        </w:rPr>
        <w:t>use cases</w:t>
      </w:r>
    </w:p>
    <w:p w:rsidR="0002447D" w:rsidRPr="009F21D4" w:rsidRDefault="0002447D" w:rsidP="0002447D">
      <w:pPr>
        <w:rPr>
          <w:sz w:val="20"/>
        </w:rPr>
      </w:pPr>
      <w:r w:rsidRPr="009F21D4">
        <w:rPr>
          <w:sz w:val="20"/>
        </w:rPr>
        <w:t>&lt;TBD&gt;:</w:t>
      </w:r>
      <w:r>
        <w:rPr>
          <w:sz w:val="20"/>
        </w:rPr>
        <w:tab/>
        <w:t xml:space="preserve">Request publication of an </w:t>
      </w:r>
      <w:r w:rsidRPr="009F21D4">
        <w:rPr>
          <w:sz w:val="20"/>
        </w:rPr>
        <w:t>Info</w:t>
      </w:r>
      <w:r>
        <w:rPr>
          <w:sz w:val="20"/>
        </w:rPr>
        <w:t>rmational document defining policy-related</w:t>
      </w:r>
      <w:r w:rsidRPr="009F21D4">
        <w:rPr>
          <w:sz w:val="20"/>
        </w:rPr>
        <w:t xml:space="preserve"> use cases</w:t>
      </w:r>
    </w:p>
    <w:p w:rsidR="0002447D" w:rsidRPr="009F21D4" w:rsidRDefault="0002447D" w:rsidP="0002447D">
      <w:pPr>
        <w:rPr>
          <w:sz w:val="20"/>
        </w:rPr>
      </w:pPr>
      <w:r w:rsidRPr="009F21D4">
        <w:rPr>
          <w:sz w:val="20"/>
        </w:rPr>
        <w:t>&lt;TBD&gt;:</w:t>
      </w:r>
      <w:r>
        <w:rPr>
          <w:sz w:val="20"/>
        </w:rPr>
        <w:tab/>
        <w:t xml:space="preserve">Request publication of an </w:t>
      </w:r>
      <w:r w:rsidRPr="009F21D4">
        <w:rPr>
          <w:sz w:val="20"/>
        </w:rPr>
        <w:t>Informational document defining topology use cases</w:t>
      </w:r>
    </w:p>
    <w:p w:rsidR="00D50760" w:rsidRPr="009F21D4" w:rsidRDefault="00D50760" w:rsidP="00D50760">
      <w:pPr>
        <w:rPr>
          <w:sz w:val="20"/>
        </w:rPr>
      </w:pPr>
      <w:r w:rsidRPr="009F21D4">
        <w:rPr>
          <w:sz w:val="20"/>
        </w:rPr>
        <w:t>&lt;TBD&gt;:</w:t>
      </w:r>
      <w:r w:rsidR="0002447D">
        <w:rPr>
          <w:sz w:val="20"/>
        </w:rPr>
        <w:tab/>
        <w:t xml:space="preserve">Request publication of an </w:t>
      </w:r>
      <w:r w:rsidRPr="009F21D4">
        <w:rPr>
          <w:sz w:val="20"/>
        </w:rPr>
        <w:t>Informational document def</w:t>
      </w:r>
      <w:r w:rsidR="005B0A15" w:rsidRPr="009F21D4">
        <w:rPr>
          <w:sz w:val="20"/>
        </w:rPr>
        <w:t>ining the protocol requirements</w:t>
      </w:r>
    </w:p>
    <w:p w:rsidR="0002447D" w:rsidRPr="009F21D4" w:rsidRDefault="0002447D" w:rsidP="0002447D">
      <w:pPr>
        <w:rPr>
          <w:sz w:val="20"/>
        </w:rPr>
      </w:pPr>
      <w:r>
        <w:rPr>
          <w:sz w:val="20"/>
        </w:rPr>
        <w:t>&lt;TBD&gt;:</w:t>
      </w:r>
      <w:r>
        <w:rPr>
          <w:sz w:val="20"/>
        </w:rPr>
        <w:tab/>
        <w:t xml:space="preserve">Request publication of an </w:t>
      </w:r>
      <w:r w:rsidRPr="009F21D4">
        <w:rPr>
          <w:sz w:val="20"/>
        </w:rPr>
        <w:t>Informational document def</w:t>
      </w:r>
      <w:r>
        <w:rPr>
          <w:sz w:val="20"/>
        </w:rPr>
        <w:t xml:space="preserve">ining encoding language </w:t>
      </w:r>
      <w:r w:rsidRPr="009F21D4">
        <w:rPr>
          <w:sz w:val="20"/>
        </w:rPr>
        <w:t>requirements</w:t>
      </w:r>
    </w:p>
    <w:p w:rsidR="0002447D" w:rsidRPr="009F21D4" w:rsidRDefault="0002447D" w:rsidP="0002447D">
      <w:pPr>
        <w:rPr>
          <w:sz w:val="20"/>
        </w:rPr>
      </w:pPr>
      <w:r w:rsidRPr="009F21D4">
        <w:rPr>
          <w:sz w:val="20"/>
        </w:rPr>
        <w:t>&lt;TBD&gt;:</w:t>
      </w:r>
      <w:r>
        <w:rPr>
          <w:sz w:val="20"/>
        </w:rPr>
        <w:tab/>
        <w:t>Request publication of a Standards Track</w:t>
      </w:r>
      <w:r w:rsidRPr="009F21D4">
        <w:rPr>
          <w:sz w:val="20"/>
        </w:rPr>
        <w:t xml:space="preserve"> document defining</w:t>
      </w:r>
      <w:r>
        <w:rPr>
          <w:sz w:val="20"/>
        </w:rPr>
        <w:t xml:space="preserve"> a</w:t>
      </w:r>
      <w:r w:rsidRPr="009F21D4">
        <w:rPr>
          <w:sz w:val="20"/>
        </w:rPr>
        <w:t xml:space="preserve"> general </w:t>
      </w:r>
      <w:r>
        <w:rPr>
          <w:sz w:val="20"/>
        </w:rPr>
        <w:t>information model</w:t>
      </w:r>
    </w:p>
    <w:p w:rsidR="0002447D" w:rsidRDefault="0002447D" w:rsidP="0002447D">
      <w:pPr>
        <w:rPr>
          <w:sz w:val="20"/>
        </w:rPr>
      </w:pPr>
      <w:r w:rsidRPr="009F21D4">
        <w:rPr>
          <w:sz w:val="20"/>
        </w:rPr>
        <w:t>&lt;TBD&gt;:</w:t>
      </w:r>
      <w:r>
        <w:rPr>
          <w:sz w:val="20"/>
        </w:rPr>
        <w:tab/>
        <w:t>Request publication of a Standards Track</w:t>
      </w:r>
      <w:r w:rsidRPr="009F21D4">
        <w:rPr>
          <w:sz w:val="20"/>
        </w:rPr>
        <w:t xml:space="preserve"> document defining </w:t>
      </w:r>
      <w:r>
        <w:rPr>
          <w:sz w:val="20"/>
        </w:rPr>
        <w:t>an information model for</w:t>
      </w:r>
      <w:r w:rsidRPr="009F21D4">
        <w:rPr>
          <w:sz w:val="20"/>
        </w:rPr>
        <w:t xml:space="preserve"> </w:t>
      </w:r>
      <w:r>
        <w:rPr>
          <w:sz w:val="20"/>
        </w:rPr>
        <w:t>RIB-</w:t>
      </w:r>
    </w:p>
    <w:p w:rsidR="0002447D" w:rsidRPr="009F21D4" w:rsidRDefault="0002447D" w:rsidP="0002447D">
      <w:pPr>
        <w:rPr>
          <w:sz w:val="20"/>
        </w:rPr>
      </w:pPr>
      <w:r>
        <w:rPr>
          <w:sz w:val="20"/>
        </w:rPr>
        <w:tab/>
      </w:r>
      <w:proofErr w:type="gramStart"/>
      <w:r>
        <w:rPr>
          <w:sz w:val="20"/>
        </w:rPr>
        <w:t>based</w:t>
      </w:r>
      <w:proofErr w:type="gramEnd"/>
      <w:r>
        <w:rPr>
          <w:sz w:val="20"/>
        </w:rPr>
        <w:t xml:space="preserve"> </w:t>
      </w:r>
      <w:r w:rsidRPr="009F21D4">
        <w:rPr>
          <w:sz w:val="20"/>
        </w:rPr>
        <w:t>use cases</w:t>
      </w:r>
    </w:p>
    <w:p w:rsidR="00437457" w:rsidRDefault="0002447D" w:rsidP="0002447D">
      <w:pPr>
        <w:rPr>
          <w:sz w:val="20"/>
        </w:rPr>
      </w:pPr>
      <w:r w:rsidRPr="009F21D4">
        <w:rPr>
          <w:sz w:val="20"/>
        </w:rPr>
        <w:t>&lt;TBD&gt;:</w:t>
      </w:r>
      <w:r>
        <w:rPr>
          <w:sz w:val="20"/>
        </w:rPr>
        <w:tab/>
        <w:t>Request publicatio</w:t>
      </w:r>
      <w:r w:rsidR="00437457">
        <w:rPr>
          <w:sz w:val="20"/>
        </w:rPr>
        <w:t>n of a Standards Track</w:t>
      </w:r>
      <w:r w:rsidR="00437457" w:rsidRPr="009F21D4">
        <w:rPr>
          <w:sz w:val="20"/>
        </w:rPr>
        <w:t xml:space="preserve"> document defining </w:t>
      </w:r>
      <w:r w:rsidR="00437457">
        <w:rPr>
          <w:sz w:val="20"/>
        </w:rPr>
        <w:t>an information model for</w:t>
      </w:r>
      <w:r>
        <w:rPr>
          <w:sz w:val="20"/>
        </w:rPr>
        <w:t xml:space="preserve"> </w:t>
      </w:r>
    </w:p>
    <w:p w:rsidR="0002447D" w:rsidRPr="009F21D4" w:rsidRDefault="00437457" w:rsidP="0002447D">
      <w:pPr>
        <w:rPr>
          <w:sz w:val="20"/>
        </w:rPr>
      </w:pPr>
      <w:r>
        <w:rPr>
          <w:sz w:val="20"/>
        </w:rPr>
        <w:tab/>
      </w:r>
      <w:proofErr w:type="gramStart"/>
      <w:r w:rsidR="0002447D">
        <w:rPr>
          <w:sz w:val="20"/>
        </w:rPr>
        <w:t>policy-related</w:t>
      </w:r>
      <w:proofErr w:type="gramEnd"/>
      <w:r w:rsidR="0002447D" w:rsidRPr="009F21D4">
        <w:rPr>
          <w:sz w:val="20"/>
        </w:rPr>
        <w:t xml:space="preserve"> use cases</w:t>
      </w:r>
    </w:p>
    <w:p w:rsidR="00437457" w:rsidRDefault="0002447D" w:rsidP="0002447D">
      <w:pPr>
        <w:rPr>
          <w:sz w:val="20"/>
        </w:rPr>
      </w:pPr>
      <w:r w:rsidRPr="009F21D4">
        <w:rPr>
          <w:sz w:val="20"/>
        </w:rPr>
        <w:t>&lt;TBD&gt;:</w:t>
      </w:r>
      <w:r>
        <w:rPr>
          <w:sz w:val="20"/>
        </w:rPr>
        <w:tab/>
        <w:t xml:space="preserve">Request publication </w:t>
      </w:r>
      <w:r w:rsidR="00437457">
        <w:rPr>
          <w:sz w:val="20"/>
        </w:rPr>
        <w:t>of a Standards Track</w:t>
      </w:r>
      <w:r w:rsidR="00437457" w:rsidRPr="009F21D4">
        <w:rPr>
          <w:sz w:val="20"/>
        </w:rPr>
        <w:t xml:space="preserve"> document defining </w:t>
      </w:r>
      <w:r w:rsidR="00437457">
        <w:rPr>
          <w:sz w:val="20"/>
        </w:rPr>
        <w:t xml:space="preserve">an information model for </w:t>
      </w:r>
    </w:p>
    <w:p w:rsidR="0002447D" w:rsidRPr="009F21D4" w:rsidRDefault="00437457" w:rsidP="0002447D">
      <w:pPr>
        <w:rPr>
          <w:sz w:val="20"/>
        </w:rPr>
      </w:pPr>
      <w:r>
        <w:rPr>
          <w:sz w:val="20"/>
        </w:rPr>
        <w:tab/>
      </w:r>
      <w:proofErr w:type="gramStart"/>
      <w:r w:rsidR="0002447D" w:rsidRPr="009F21D4">
        <w:rPr>
          <w:sz w:val="20"/>
        </w:rPr>
        <w:t>topology</w:t>
      </w:r>
      <w:proofErr w:type="gramEnd"/>
      <w:r w:rsidR="0002447D" w:rsidRPr="009F21D4">
        <w:rPr>
          <w:sz w:val="20"/>
        </w:rPr>
        <w:t xml:space="preserve"> use cases</w:t>
      </w:r>
    </w:p>
    <w:p w:rsidR="008E0D03" w:rsidRDefault="008E0D03" w:rsidP="00D50760">
      <w:pPr>
        <w:rPr>
          <w:sz w:val="20"/>
        </w:rPr>
      </w:pPr>
      <w:r>
        <w:rPr>
          <w:sz w:val="20"/>
        </w:rPr>
        <w:t>&lt;TBD&gt;:</w:t>
      </w:r>
      <w:r>
        <w:rPr>
          <w:sz w:val="20"/>
        </w:rPr>
        <w:tab/>
        <w:t xml:space="preserve">Request publication of an </w:t>
      </w:r>
      <w:r w:rsidRPr="009F21D4">
        <w:rPr>
          <w:sz w:val="20"/>
        </w:rPr>
        <w:t>Informational document</w:t>
      </w:r>
      <w:r>
        <w:rPr>
          <w:sz w:val="20"/>
        </w:rPr>
        <w:t xml:space="preserve"> providing an analysis of existing IETF and </w:t>
      </w:r>
    </w:p>
    <w:p w:rsidR="008E0D03" w:rsidRDefault="008E0D03" w:rsidP="00D50760">
      <w:pPr>
        <w:rPr>
          <w:sz w:val="20"/>
        </w:rPr>
      </w:pPr>
      <w:r>
        <w:rPr>
          <w:sz w:val="20"/>
        </w:rPr>
        <w:tab/>
      </w:r>
      <w:proofErr w:type="gramStart"/>
      <w:r>
        <w:rPr>
          <w:sz w:val="20"/>
        </w:rPr>
        <w:t>other</w:t>
      </w:r>
      <w:proofErr w:type="gramEnd"/>
      <w:r>
        <w:rPr>
          <w:sz w:val="20"/>
        </w:rPr>
        <w:t xml:space="preserve"> protocols and encoding languages against the requirements</w:t>
      </w:r>
    </w:p>
    <w:p w:rsidR="006916D0" w:rsidRPr="009F21D4" w:rsidRDefault="00437457">
      <w:pPr>
        <w:rPr>
          <w:sz w:val="20"/>
        </w:rPr>
      </w:pPr>
      <w:r>
        <w:rPr>
          <w:sz w:val="20"/>
        </w:rPr>
        <w:t>&lt;TBD&gt;:</w:t>
      </w:r>
      <w:r>
        <w:rPr>
          <w:sz w:val="20"/>
        </w:rPr>
        <w:tab/>
        <w:t xml:space="preserve">Consider re-chartering </w:t>
      </w:r>
    </w:p>
    <w:sectPr w:rsidR="006916D0" w:rsidRPr="009F21D4" w:rsidSect="003C41A9">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16C28"/>
    <w:multiLevelType w:val="hybridMultilevel"/>
    <w:tmpl w:val="39060D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54ACE"/>
    <w:multiLevelType w:val="hybridMultilevel"/>
    <w:tmpl w:val="02A48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D50760"/>
    <w:rsid w:val="00017A4E"/>
    <w:rsid w:val="0002447D"/>
    <w:rsid w:val="0002736C"/>
    <w:rsid w:val="00030E7A"/>
    <w:rsid w:val="000C2BB5"/>
    <w:rsid w:val="000C6520"/>
    <w:rsid w:val="000F5185"/>
    <w:rsid w:val="00162A34"/>
    <w:rsid w:val="00256CC2"/>
    <w:rsid w:val="00260036"/>
    <w:rsid w:val="00261927"/>
    <w:rsid w:val="002E7809"/>
    <w:rsid w:val="00341E21"/>
    <w:rsid w:val="003461D6"/>
    <w:rsid w:val="00374784"/>
    <w:rsid w:val="003A24D1"/>
    <w:rsid w:val="003C18AF"/>
    <w:rsid w:val="003C41A9"/>
    <w:rsid w:val="00437457"/>
    <w:rsid w:val="00481773"/>
    <w:rsid w:val="004A341A"/>
    <w:rsid w:val="004C34D8"/>
    <w:rsid w:val="004E5845"/>
    <w:rsid w:val="00503AD6"/>
    <w:rsid w:val="005B0A15"/>
    <w:rsid w:val="006065B0"/>
    <w:rsid w:val="00614035"/>
    <w:rsid w:val="006916D0"/>
    <w:rsid w:val="0073473F"/>
    <w:rsid w:val="00770521"/>
    <w:rsid w:val="007D2656"/>
    <w:rsid w:val="007E7247"/>
    <w:rsid w:val="008D0B24"/>
    <w:rsid w:val="008E0D03"/>
    <w:rsid w:val="00963C2F"/>
    <w:rsid w:val="009652C8"/>
    <w:rsid w:val="00985AEE"/>
    <w:rsid w:val="009C6DC9"/>
    <w:rsid w:val="009F21D4"/>
    <w:rsid w:val="009F60C8"/>
    <w:rsid w:val="00A2542B"/>
    <w:rsid w:val="00A715CB"/>
    <w:rsid w:val="00BE153A"/>
    <w:rsid w:val="00C00566"/>
    <w:rsid w:val="00C33799"/>
    <w:rsid w:val="00C54325"/>
    <w:rsid w:val="00C66CB4"/>
    <w:rsid w:val="00D01DBC"/>
    <w:rsid w:val="00D50760"/>
    <w:rsid w:val="00DA6360"/>
    <w:rsid w:val="00DC57BD"/>
    <w:rsid w:val="00E05B90"/>
    <w:rsid w:val="00E546B0"/>
    <w:rsid w:val="00E757D7"/>
    <w:rsid w:val="00EB3B1B"/>
    <w:rsid w:val="00F10432"/>
    <w:rsid w:val="00FE347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A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760"/>
    <w:rPr>
      <w:color w:val="0000FF" w:themeColor="hyperlink"/>
      <w:u w:val="single"/>
    </w:rPr>
  </w:style>
  <w:style w:type="paragraph" w:styleId="ListParagraph">
    <w:name w:val="List Paragraph"/>
    <w:basedOn w:val="Normal"/>
    <w:uiPriority w:val="34"/>
    <w:qFormat/>
    <w:rsid w:val="009F6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760"/>
    <w:rPr>
      <w:color w:val="0000FF" w:themeColor="hyperlink"/>
      <w:u w:val="single"/>
    </w:rPr>
  </w:style>
  <w:style w:type="paragraph" w:styleId="ListParagraph">
    <w:name w:val="List Paragraph"/>
    <w:basedOn w:val="Normal"/>
    <w:uiPriority w:val="34"/>
    <w:qFormat/>
    <w:rsid w:val="009F60C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dc:creator>
  <cp:lastModifiedBy>Ross Callon</cp:lastModifiedBy>
  <cp:revision>2</cp:revision>
  <dcterms:created xsi:type="dcterms:W3CDTF">2012-10-18T15:50:00Z</dcterms:created>
  <dcterms:modified xsi:type="dcterms:W3CDTF">2012-10-18T15:50:00Z</dcterms:modified>
</cp:coreProperties>
</file>