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40664540" w14:textId="77777777" w:rsidTr="00876A8A">
        <w:trPr>
          <w:cantSplit/>
        </w:trPr>
        <w:tc>
          <w:tcPr>
            <w:tcW w:w="6487" w:type="dxa"/>
            <w:vAlign w:val="center"/>
          </w:tcPr>
          <w:p w14:paraId="6B197F0A" w14:textId="77777777"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4C2B9E57" w14:textId="2501E389" w:rsidR="009F6520" w:rsidRDefault="0087356F" w:rsidP="0087356F">
            <w:pPr>
              <w:shd w:val="solid" w:color="FFFFFF" w:fill="FFFFFF"/>
              <w:spacing w:before="0" w:line="240" w:lineRule="atLeast"/>
            </w:pPr>
            <w:bookmarkStart w:id="0" w:name="ditulogo"/>
            <w:bookmarkEnd w:id="0"/>
            <w:r>
              <w:rPr>
                <w:noProof/>
                <w:lang w:eastAsia="en-GB"/>
              </w:rPr>
              <w:drawing>
                <wp:inline distT="0" distB="0" distL="0" distR="0" wp14:anchorId="5482B744" wp14:editId="35BD83E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29D22F79" w14:textId="77777777" w:rsidTr="00876A8A">
        <w:trPr>
          <w:cantSplit/>
        </w:trPr>
        <w:tc>
          <w:tcPr>
            <w:tcW w:w="6487" w:type="dxa"/>
            <w:tcBorders>
              <w:bottom w:val="single" w:sz="12" w:space="0" w:color="auto"/>
            </w:tcBorders>
          </w:tcPr>
          <w:p w14:paraId="2E7B7354"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51043781" w14:textId="77777777" w:rsidR="000069D4" w:rsidRPr="0051782D" w:rsidRDefault="000069D4" w:rsidP="00A5173C">
            <w:pPr>
              <w:shd w:val="solid" w:color="FFFFFF" w:fill="FFFFFF"/>
              <w:spacing w:before="0" w:after="48" w:line="240" w:lineRule="atLeast"/>
              <w:rPr>
                <w:sz w:val="22"/>
                <w:szCs w:val="22"/>
                <w:lang w:val="en-US"/>
              </w:rPr>
            </w:pPr>
          </w:p>
        </w:tc>
      </w:tr>
      <w:tr w:rsidR="000069D4" w14:paraId="252CCBE1" w14:textId="77777777" w:rsidTr="00876A8A">
        <w:trPr>
          <w:cantSplit/>
        </w:trPr>
        <w:tc>
          <w:tcPr>
            <w:tcW w:w="6487" w:type="dxa"/>
            <w:tcBorders>
              <w:top w:val="single" w:sz="12" w:space="0" w:color="auto"/>
            </w:tcBorders>
          </w:tcPr>
          <w:p w14:paraId="7F74061A"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11B08C9" w14:textId="77777777" w:rsidR="000069D4" w:rsidRPr="00710D66" w:rsidRDefault="000069D4" w:rsidP="00A5173C">
            <w:pPr>
              <w:shd w:val="solid" w:color="FFFFFF" w:fill="FFFFFF"/>
              <w:spacing w:before="0" w:after="48" w:line="240" w:lineRule="atLeast"/>
              <w:rPr>
                <w:lang w:val="en-US"/>
              </w:rPr>
            </w:pPr>
          </w:p>
        </w:tc>
      </w:tr>
      <w:tr w:rsidR="000069D4" w:rsidRPr="00B30B5E" w14:paraId="2995C720" w14:textId="77777777" w:rsidTr="00876A8A">
        <w:trPr>
          <w:cantSplit/>
        </w:trPr>
        <w:tc>
          <w:tcPr>
            <w:tcW w:w="6487" w:type="dxa"/>
            <w:vMerge w:val="restart"/>
          </w:tcPr>
          <w:p w14:paraId="032061DE" w14:textId="536BB5EE" w:rsidR="00B85CD8" w:rsidRDefault="00B85CD8" w:rsidP="00B85CD8">
            <w:pPr>
              <w:shd w:val="solid" w:color="FFFFFF" w:fill="FFFFFF"/>
              <w:tabs>
                <w:tab w:val="clear" w:pos="1134"/>
                <w:tab w:val="clear" w:pos="1871"/>
                <w:tab w:val="clear" w:pos="2268"/>
              </w:tabs>
              <w:spacing w:before="0"/>
              <w:ind w:left="1134" w:hanging="1134"/>
              <w:rPr>
                <w:rFonts w:ascii="Verdana" w:hAnsi="Verdana"/>
                <w:sz w:val="20"/>
                <w:lang w:val="fr-FR"/>
              </w:rPr>
            </w:pPr>
            <w:bookmarkStart w:id="1" w:name="recibido"/>
            <w:bookmarkStart w:id="2" w:name="dnum" w:colFirst="1" w:colLast="1"/>
            <w:bookmarkEnd w:id="1"/>
            <w:r w:rsidRPr="00EB54BA">
              <w:rPr>
                <w:rFonts w:ascii="Verdana" w:hAnsi="Verdana"/>
                <w:sz w:val="20"/>
                <w:lang w:val="fr-FR"/>
              </w:rPr>
              <w:t>Attachment</w:t>
            </w:r>
            <w:r>
              <w:rPr>
                <w:rFonts w:ascii="Verdana" w:hAnsi="Verdana"/>
                <w:sz w:val="20"/>
                <w:lang w:val="fr-FR"/>
              </w:rPr>
              <w:t xml:space="preserve"> 7.4 to Document 5D/360</w:t>
            </w:r>
          </w:p>
          <w:p w14:paraId="42964DCE" w14:textId="7CD1DF68" w:rsidR="0087356F" w:rsidRPr="00B85CD8" w:rsidRDefault="00B85CD8" w:rsidP="00B85CD8">
            <w:pPr>
              <w:shd w:val="solid" w:color="FFFFFF" w:fill="FFFFFF"/>
              <w:tabs>
                <w:tab w:val="clear" w:pos="1134"/>
                <w:tab w:val="clear" w:pos="1871"/>
                <w:tab w:val="clear" w:pos="2268"/>
              </w:tabs>
              <w:spacing w:before="0" w:after="240"/>
              <w:ind w:left="1134" w:hanging="1134"/>
              <w:rPr>
                <w:rFonts w:ascii="Verdana" w:hAnsi="Verdana"/>
                <w:sz w:val="20"/>
                <w:lang w:val="fr-FR"/>
              </w:rPr>
            </w:pPr>
            <w:r>
              <w:rPr>
                <w:rFonts w:ascii="Verdana" w:hAnsi="Verdana"/>
                <w:sz w:val="20"/>
                <w:lang w:val="fr-FR"/>
              </w:rPr>
              <w:t>(</w:t>
            </w:r>
            <w:r w:rsidRPr="00B85CD8">
              <w:rPr>
                <w:rFonts w:ascii="Verdana" w:hAnsi="Verdana"/>
                <w:sz w:val="20"/>
                <w:lang w:val="fr-FR"/>
              </w:rPr>
              <w:t>Source: Document 5D/TEMP/219(R</w:t>
            </w:r>
            <w:r>
              <w:rPr>
                <w:rFonts w:ascii="Verdana" w:hAnsi="Verdana"/>
                <w:sz w:val="20"/>
                <w:lang w:val="fr-FR"/>
              </w:rPr>
              <w:t>ev.2))</w:t>
            </w:r>
          </w:p>
        </w:tc>
        <w:tc>
          <w:tcPr>
            <w:tcW w:w="3402" w:type="dxa"/>
          </w:tcPr>
          <w:p w14:paraId="1B33B43A" w14:textId="4F67D37D" w:rsidR="000069D4" w:rsidRPr="00B85CD8" w:rsidRDefault="000069D4" w:rsidP="00B85CD8">
            <w:pPr>
              <w:shd w:val="solid" w:color="FFFFFF" w:fill="FFFFFF"/>
              <w:spacing w:before="0" w:line="240" w:lineRule="atLeast"/>
              <w:rPr>
                <w:rFonts w:ascii="Verdana" w:hAnsi="Verdana"/>
                <w:sz w:val="20"/>
                <w:lang w:val="fr-FR" w:eastAsia="zh-CN"/>
              </w:rPr>
            </w:pPr>
          </w:p>
        </w:tc>
      </w:tr>
      <w:tr w:rsidR="000069D4" w14:paraId="478192A2" w14:textId="77777777" w:rsidTr="00876A8A">
        <w:trPr>
          <w:cantSplit/>
        </w:trPr>
        <w:tc>
          <w:tcPr>
            <w:tcW w:w="6487" w:type="dxa"/>
            <w:vMerge/>
          </w:tcPr>
          <w:p w14:paraId="7204D6FC" w14:textId="77777777" w:rsidR="000069D4" w:rsidRPr="00B85CD8" w:rsidRDefault="000069D4" w:rsidP="00A5173C">
            <w:pPr>
              <w:spacing w:before="60"/>
              <w:jc w:val="center"/>
              <w:rPr>
                <w:b/>
                <w:smallCaps/>
                <w:sz w:val="32"/>
                <w:lang w:val="fr-FR" w:eastAsia="zh-CN"/>
              </w:rPr>
            </w:pPr>
            <w:bookmarkStart w:id="3" w:name="ddate" w:colFirst="1" w:colLast="1"/>
            <w:bookmarkEnd w:id="2"/>
          </w:p>
        </w:tc>
        <w:tc>
          <w:tcPr>
            <w:tcW w:w="3402" w:type="dxa"/>
          </w:tcPr>
          <w:p w14:paraId="3EB882E0" w14:textId="5444ED28" w:rsidR="000069D4" w:rsidRPr="0087356F" w:rsidRDefault="00EB54BA" w:rsidP="00A5173C">
            <w:pPr>
              <w:shd w:val="solid" w:color="FFFFFF" w:fill="FFFFFF"/>
              <w:spacing w:before="0" w:line="240" w:lineRule="atLeast"/>
              <w:rPr>
                <w:rFonts w:ascii="Verdana" w:hAnsi="Verdana"/>
                <w:sz w:val="20"/>
                <w:lang w:eastAsia="zh-CN"/>
              </w:rPr>
            </w:pPr>
            <w:r>
              <w:rPr>
                <w:rFonts w:ascii="Verdana" w:hAnsi="Verdana"/>
                <w:b/>
                <w:sz w:val="20"/>
                <w:lang w:eastAsia="zh-CN"/>
              </w:rPr>
              <w:t>27</w:t>
            </w:r>
            <w:r w:rsidR="0087356F">
              <w:rPr>
                <w:rFonts w:ascii="Verdana" w:hAnsi="Verdana"/>
                <w:b/>
                <w:sz w:val="20"/>
                <w:lang w:eastAsia="zh-CN"/>
              </w:rPr>
              <w:t xml:space="preserve"> October 2020</w:t>
            </w:r>
          </w:p>
        </w:tc>
      </w:tr>
      <w:tr w:rsidR="000069D4" w14:paraId="132FBB64" w14:textId="77777777" w:rsidTr="00876A8A">
        <w:trPr>
          <w:cantSplit/>
        </w:trPr>
        <w:tc>
          <w:tcPr>
            <w:tcW w:w="6487" w:type="dxa"/>
            <w:vMerge/>
          </w:tcPr>
          <w:p w14:paraId="50E320B9" w14:textId="77777777" w:rsidR="000069D4" w:rsidRDefault="000069D4" w:rsidP="00A5173C">
            <w:pPr>
              <w:spacing w:before="60"/>
              <w:jc w:val="center"/>
              <w:rPr>
                <w:b/>
                <w:smallCaps/>
                <w:sz w:val="32"/>
                <w:lang w:eastAsia="zh-CN"/>
              </w:rPr>
            </w:pPr>
            <w:bookmarkStart w:id="4" w:name="dorlang" w:colFirst="1" w:colLast="1"/>
            <w:bookmarkEnd w:id="3"/>
          </w:p>
        </w:tc>
        <w:tc>
          <w:tcPr>
            <w:tcW w:w="3402" w:type="dxa"/>
          </w:tcPr>
          <w:p w14:paraId="346B4B2D" w14:textId="40378ADB" w:rsidR="000069D4" w:rsidRPr="0087356F" w:rsidRDefault="0087356F"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65077C20" w14:textId="77777777" w:rsidTr="00D046A7">
        <w:trPr>
          <w:cantSplit/>
        </w:trPr>
        <w:tc>
          <w:tcPr>
            <w:tcW w:w="9889" w:type="dxa"/>
            <w:gridSpan w:val="2"/>
          </w:tcPr>
          <w:p w14:paraId="2934AE17" w14:textId="0874FD97" w:rsidR="000069D4" w:rsidRDefault="00B85CD8" w:rsidP="0087356F">
            <w:pPr>
              <w:pStyle w:val="Source"/>
              <w:rPr>
                <w:lang w:eastAsia="zh-CN"/>
              </w:rPr>
            </w:pPr>
            <w:bookmarkStart w:id="5" w:name="dsource" w:colFirst="0" w:colLast="0"/>
            <w:bookmarkEnd w:id="4"/>
            <w:r>
              <w:rPr>
                <w:lang w:eastAsia="zh-CN"/>
              </w:rPr>
              <w:t>Working Party 5D</w:t>
            </w:r>
          </w:p>
        </w:tc>
      </w:tr>
      <w:tr w:rsidR="000069D4" w14:paraId="6CDF2EFC" w14:textId="77777777" w:rsidTr="00D046A7">
        <w:trPr>
          <w:cantSplit/>
        </w:trPr>
        <w:tc>
          <w:tcPr>
            <w:tcW w:w="9889" w:type="dxa"/>
            <w:gridSpan w:val="2"/>
          </w:tcPr>
          <w:p w14:paraId="6B31B44F" w14:textId="6349918C" w:rsidR="000069D4" w:rsidRPr="0087356F" w:rsidRDefault="0087356F" w:rsidP="00A5173C">
            <w:pPr>
              <w:pStyle w:val="Title1"/>
              <w:rPr>
                <w:lang w:val="en-US" w:eastAsia="zh-CN"/>
              </w:rPr>
            </w:pPr>
            <w:bookmarkStart w:id="6" w:name="drec" w:colFirst="0" w:colLast="0"/>
            <w:bookmarkEnd w:id="5"/>
            <w:r w:rsidRPr="0087356F">
              <w:rPr>
                <w:lang w:eastAsia="zh-CN"/>
              </w:rPr>
              <w:t>LIAISON STATEMENT TO EXTERNAL ORGANIZATIONS</w:t>
            </w:r>
            <w:r>
              <w:rPr>
                <w:rStyle w:val="FootnoteReference"/>
                <w:b/>
                <w:bCs/>
                <w:szCs w:val="28"/>
                <w:lang w:val="en-US" w:eastAsia="zh-CN"/>
              </w:rPr>
              <w:footnoteReference w:id="1"/>
            </w:r>
          </w:p>
        </w:tc>
      </w:tr>
      <w:tr w:rsidR="000069D4" w14:paraId="173392B5" w14:textId="77777777" w:rsidTr="00D046A7">
        <w:trPr>
          <w:cantSplit/>
        </w:trPr>
        <w:tc>
          <w:tcPr>
            <w:tcW w:w="9889" w:type="dxa"/>
            <w:gridSpan w:val="2"/>
          </w:tcPr>
          <w:p w14:paraId="2573A1A3" w14:textId="77777777" w:rsidR="00AB11A2" w:rsidRDefault="00AB11A2" w:rsidP="0087356F">
            <w:pPr>
              <w:pStyle w:val="Title4"/>
              <w:rPr>
                <w:lang w:eastAsia="zh-CN"/>
              </w:rPr>
            </w:pPr>
            <w:bookmarkStart w:id="7" w:name="dtitle1" w:colFirst="0" w:colLast="0"/>
            <w:bookmarkEnd w:id="6"/>
            <w:r>
              <w:rPr>
                <w:lang w:eastAsia="zh-CN"/>
              </w:rPr>
              <w:t>Future Technology Trends for the evolution of IMT towards 2030 and beyond</w:t>
            </w:r>
          </w:p>
          <w:p w14:paraId="491A7627" w14:textId="0BBE0514" w:rsidR="000069D4" w:rsidRDefault="000069D4" w:rsidP="0087356F">
            <w:pPr>
              <w:pStyle w:val="Title4"/>
              <w:rPr>
                <w:lang w:eastAsia="zh-CN"/>
              </w:rPr>
            </w:pPr>
          </w:p>
        </w:tc>
      </w:tr>
    </w:tbl>
    <w:p w14:paraId="6A57A48B" w14:textId="113622EE" w:rsidR="0087356F" w:rsidRDefault="0087356F" w:rsidP="0087356F">
      <w:pPr>
        <w:pStyle w:val="Normalaftertitle"/>
        <w:jc w:val="both"/>
        <w:rPr>
          <w:i/>
          <w:lang w:eastAsia="zh-CN"/>
        </w:rPr>
      </w:pPr>
      <w:bookmarkStart w:id="8" w:name="dbreak"/>
      <w:bookmarkEnd w:id="7"/>
      <w:bookmarkEnd w:id="8"/>
      <w:r>
        <w:rPr>
          <w:rFonts w:eastAsia="SimSun"/>
          <w:lang w:eastAsia="zh-CN"/>
        </w:rPr>
        <w:t xml:space="preserve">Considering the successful </w:t>
      </w:r>
      <w:r>
        <w:rPr>
          <w:rFonts w:eastAsia="SimSun" w:hint="eastAsia"/>
          <w:lang w:eastAsia="zh-CN"/>
        </w:rPr>
        <w:t>accomplishments</w:t>
      </w:r>
      <w:r>
        <w:rPr>
          <w:rFonts w:eastAsia="SimSun"/>
          <w:lang w:eastAsia="zh-CN"/>
        </w:rPr>
        <w:t xml:space="preserve"> by ITU for the evolution of IMT-2000</w:t>
      </w:r>
      <w:r>
        <w:rPr>
          <w:rFonts w:eastAsia="SimSun" w:hint="eastAsia"/>
          <w:lang w:eastAsia="zh-CN"/>
        </w:rPr>
        <w:t>,</w:t>
      </w:r>
      <w:r>
        <w:rPr>
          <w:rFonts w:eastAsia="SimSun"/>
          <w:lang w:eastAsia="zh-CN"/>
        </w:rPr>
        <w:t xml:space="preserve"> IMT</w:t>
      </w:r>
      <w:r>
        <w:rPr>
          <w:rFonts w:eastAsia="SimSun"/>
          <w:lang w:eastAsia="zh-CN"/>
        </w:rPr>
        <w:noBreakHyphen/>
        <w:t>Advanced</w:t>
      </w:r>
      <w:r>
        <w:rPr>
          <w:rFonts w:eastAsia="SimSun" w:hint="eastAsia"/>
          <w:lang w:eastAsia="zh-CN"/>
        </w:rPr>
        <w:t xml:space="preserve"> and IMT-2020</w:t>
      </w:r>
      <w:r>
        <w:rPr>
          <w:rFonts w:eastAsia="SimSun"/>
          <w:lang w:eastAsia="zh-CN"/>
        </w:rPr>
        <w:t xml:space="preserve">, similar actions are proposed for the </w:t>
      </w:r>
      <w:r>
        <w:rPr>
          <w:rFonts w:eastAsia="SimSun" w:hint="eastAsia"/>
          <w:lang w:eastAsia="zh-CN"/>
        </w:rPr>
        <w:t xml:space="preserve">evolution of </w:t>
      </w:r>
      <w:r w:rsidR="00FA064B">
        <w:rPr>
          <w:rFonts w:eastAsia="SimSun"/>
          <w:lang w:eastAsia="zh-CN"/>
        </w:rPr>
        <w:t>IMT towards 2030 and beyond</w:t>
      </w:r>
      <w:r>
        <w:rPr>
          <w:rFonts w:eastAsia="SimSun"/>
          <w:lang w:eastAsia="zh-CN"/>
        </w:rPr>
        <w:t>. The approach taken for IMT</w:t>
      </w:r>
      <w:r>
        <w:rPr>
          <w:rFonts w:eastAsia="SimSun"/>
          <w:lang w:eastAsia="zh-CN"/>
        </w:rPr>
        <w:noBreakHyphen/>
        <w:t xml:space="preserve">Advanced evolution towards IMT-2020 was to start with the work on the Report </w:t>
      </w:r>
      <w:hyperlink r:id="rId8" w:history="1">
        <w:r w:rsidRPr="00A93B29">
          <w:rPr>
            <w:rStyle w:val="Hyperlink"/>
            <w:rFonts w:eastAsia="SimSun"/>
          </w:rPr>
          <w:t>ITU-R M.2320</w:t>
        </w:r>
      </w:hyperlink>
      <w:r>
        <w:rPr>
          <w:rFonts w:eastAsia="SimSun"/>
          <w:lang w:eastAsia="zh-CN"/>
        </w:rPr>
        <w:t xml:space="preserve"> entitled “Future technology trends of terrestrial IMT systems” (approved in 2014) to develop the evolution for IMT-Advanced.</w:t>
      </w:r>
      <w:r>
        <w:rPr>
          <w:rFonts w:eastAsia="SimSun" w:hint="eastAsia"/>
          <w:lang w:eastAsia="zh-CN"/>
        </w:rPr>
        <w:t xml:space="preserve"> </w:t>
      </w:r>
      <w:r>
        <w:rPr>
          <w:rFonts w:eastAsia="SimSun"/>
          <w:lang w:eastAsia="zh-CN"/>
        </w:rPr>
        <w:t>At its 34</w:t>
      </w:r>
      <w:r w:rsidRPr="00966848">
        <w:rPr>
          <w:rFonts w:eastAsia="SimSun"/>
          <w:vertAlign w:val="superscript"/>
          <w:lang w:eastAsia="zh-CN"/>
        </w:rPr>
        <w:t>th</w:t>
      </w:r>
      <w:r>
        <w:rPr>
          <w:rFonts w:eastAsia="SimSun"/>
          <w:lang w:eastAsia="zh-CN"/>
        </w:rPr>
        <w:t xml:space="preserve"> meeting (19-26 February 2020), </w:t>
      </w:r>
      <w:r>
        <w:rPr>
          <w:rFonts w:hint="eastAsia"/>
          <w:lang w:eastAsia="zh-CN"/>
        </w:rPr>
        <w:t>ITU</w:t>
      </w:r>
      <w:r w:rsidR="00A93B29">
        <w:rPr>
          <w:lang w:eastAsia="zh-CN"/>
        </w:rPr>
        <w:noBreakHyphen/>
      </w:r>
      <w:r>
        <w:rPr>
          <w:rFonts w:hint="eastAsia"/>
          <w:lang w:eastAsia="zh-CN"/>
        </w:rPr>
        <w:t xml:space="preserve">R </w:t>
      </w:r>
      <w:r>
        <w:rPr>
          <w:lang w:eastAsia="zh-CN"/>
        </w:rPr>
        <w:t>W</w:t>
      </w:r>
      <w:r w:rsidR="00A93B29">
        <w:rPr>
          <w:lang w:eastAsia="zh-CN"/>
        </w:rPr>
        <w:t xml:space="preserve">orking </w:t>
      </w:r>
      <w:r>
        <w:rPr>
          <w:lang w:eastAsia="zh-CN"/>
        </w:rPr>
        <w:t>P</w:t>
      </w:r>
      <w:r w:rsidR="00A93B29">
        <w:rPr>
          <w:lang w:eastAsia="zh-CN"/>
        </w:rPr>
        <w:t>arty (WP)</w:t>
      </w:r>
      <w:r>
        <w:rPr>
          <w:lang w:eastAsia="zh-CN"/>
        </w:rPr>
        <w:t xml:space="preserve"> 5D </w:t>
      </w:r>
      <w:r>
        <w:rPr>
          <w:rFonts w:hint="eastAsia"/>
          <w:lang w:eastAsia="zh-CN"/>
        </w:rPr>
        <w:t xml:space="preserve">decided to start </w:t>
      </w:r>
      <w:r>
        <w:rPr>
          <w:lang w:eastAsia="zh-CN"/>
        </w:rPr>
        <w:t xml:space="preserve">study </w:t>
      </w:r>
      <w:r>
        <w:rPr>
          <w:rFonts w:hint="eastAsia"/>
          <w:lang w:eastAsia="zh-CN"/>
        </w:rPr>
        <w:t xml:space="preserve">on future technology trends </w:t>
      </w:r>
      <w:r>
        <w:rPr>
          <w:lang w:eastAsia="zh-CN"/>
        </w:rPr>
        <w:t xml:space="preserve">for the future evolution of IMT. </w:t>
      </w:r>
      <w:r w:rsidRPr="0007586E">
        <w:rPr>
          <w:lang w:eastAsia="zh-CN"/>
        </w:rPr>
        <w:t xml:space="preserve">It is planned </w:t>
      </w:r>
      <w:r>
        <w:rPr>
          <w:lang w:eastAsia="zh-CN"/>
        </w:rPr>
        <w:t>for</w:t>
      </w:r>
      <w:r w:rsidRPr="0007586E">
        <w:rPr>
          <w:lang w:eastAsia="zh-CN"/>
        </w:rPr>
        <w:t xml:space="preserve"> WP 5D </w:t>
      </w:r>
      <w:r>
        <w:rPr>
          <w:lang w:eastAsia="zh-CN"/>
        </w:rPr>
        <w:t>to</w:t>
      </w:r>
      <w:r w:rsidRPr="0007586E">
        <w:rPr>
          <w:lang w:eastAsia="zh-CN"/>
        </w:rPr>
        <w:t xml:space="preserve"> complete this study at the 41st WP 5D meeting in June 2022.</w:t>
      </w:r>
      <w:r>
        <w:rPr>
          <w:rFonts w:hint="eastAsia"/>
          <w:lang w:eastAsia="zh-CN"/>
        </w:rPr>
        <w:t xml:space="preserve"> A</w:t>
      </w:r>
      <w:r>
        <w:t xml:space="preserve"> </w:t>
      </w:r>
      <w:r>
        <w:rPr>
          <w:color w:val="000000" w:themeColor="text1"/>
        </w:rPr>
        <w:t xml:space="preserve">preliminary draft new </w:t>
      </w:r>
      <w:r>
        <w:t>Report ITU-R M.[IMT.FUTURE TECHNOLOGY TRENDS]</w:t>
      </w:r>
      <w:r>
        <w:rPr>
          <w:rFonts w:hint="eastAsia"/>
          <w:lang w:eastAsia="zh-CN"/>
        </w:rPr>
        <w:t xml:space="preserve"> </w:t>
      </w:r>
      <w:r>
        <w:rPr>
          <w:lang w:eastAsia="zh-CN"/>
        </w:rPr>
        <w:t>will</w:t>
      </w:r>
      <w:r>
        <w:rPr>
          <w:rFonts w:hint="eastAsia"/>
          <w:lang w:eastAsia="zh-CN"/>
        </w:rPr>
        <w:t xml:space="preserve"> be developed and</w:t>
      </w:r>
      <w:r>
        <w:rPr>
          <w:lang w:eastAsia="ja-JP"/>
        </w:rPr>
        <w:t xml:space="preserve"> will </w:t>
      </w:r>
      <w:r>
        <w:rPr>
          <w:lang w:eastAsia="zh-CN"/>
        </w:rPr>
        <w:t>consider</w:t>
      </w:r>
      <w:r>
        <w:rPr>
          <w:rFonts w:hint="eastAsia"/>
          <w:lang w:eastAsia="zh-CN"/>
        </w:rPr>
        <w:t xml:space="preserve"> related</w:t>
      </w:r>
      <w:r>
        <w:rPr>
          <w:lang w:eastAsia="ja-JP"/>
        </w:rPr>
        <w:t xml:space="preserve"> information from various external organizations and country/regional research programmes</w:t>
      </w:r>
      <w:r>
        <w:rPr>
          <w:rFonts w:hint="eastAsia"/>
          <w:lang w:eastAsia="zh-CN"/>
        </w:rPr>
        <w:t xml:space="preserve">. </w:t>
      </w:r>
    </w:p>
    <w:p w14:paraId="3F505D76" w14:textId="77777777" w:rsidR="0087356F" w:rsidRDefault="0087356F" w:rsidP="0087356F">
      <w:pPr>
        <w:rPr>
          <w:rFonts w:eastAsia="SimSun"/>
          <w:lang w:eastAsia="zh-CN"/>
        </w:rPr>
      </w:pPr>
      <w:r>
        <w:rPr>
          <w:rFonts w:eastAsia="SimSun"/>
          <w:lang w:eastAsia="zh-CN"/>
        </w:rPr>
        <w:t>The</w:t>
      </w:r>
      <w:r>
        <w:rPr>
          <w:rFonts w:eastAsia="SimSun" w:hint="eastAsia"/>
          <w:lang w:eastAsia="zh-CN"/>
        </w:rPr>
        <w:t xml:space="preserve"> </w:t>
      </w:r>
      <w:r>
        <w:rPr>
          <w:rFonts w:eastAsia="SimSun"/>
          <w:lang w:eastAsia="zh-CN"/>
        </w:rPr>
        <w:t>scope</w:t>
      </w:r>
      <w:r>
        <w:rPr>
          <w:rFonts w:eastAsia="SimSun" w:hint="eastAsia"/>
          <w:lang w:eastAsia="zh-CN"/>
        </w:rPr>
        <w:t xml:space="preserve"> </w:t>
      </w:r>
      <w:r>
        <w:rPr>
          <w:lang w:eastAsia="zh-CN"/>
        </w:rPr>
        <w:t>of th</w:t>
      </w:r>
      <w:r>
        <w:rPr>
          <w:rFonts w:hint="eastAsia"/>
          <w:lang w:eastAsia="zh-CN"/>
        </w:rPr>
        <w:t>e new</w:t>
      </w:r>
      <w:r w:rsidRPr="007B2CBE">
        <w:t xml:space="preserve"> </w:t>
      </w:r>
      <w:r>
        <w:t>Report ITU-R M.[IMT.FUTURE TECHNOLOGY TRENDS]</w:t>
      </w:r>
      <w:r>
        <w:rPr>
          <w:lang w:eastAsia="zh-CN"/>
        </w:rPr>
        <w:t xml:space="preserve"> </w:t>
      </w:r>
      <w:r>
        <w:rPr>
          <w:rFonts w:hint="eastAsia"/>
          <w:lang w:eastAsia="zh-CN"/>
        </w:rPr>
        <w:t>focuses on the following aspects</w:t>
      </w:r>
      <w:r>
        <w:rPr>
          <w:rFonts w:eastAsia="SimSun"/>
          <w:lang w:eastAsia="zh-CN"/>
        </w:rPr>
        <w:t>:</w:t>
      </w:r>
    </w:p>
    <w:p w14:paraId="091E401A" w14:textId="77777777" w:rsidR="0087356F" w:rsidRDefault="0087356F" w:rsidP="0087356F">
      <w:pPr>
        <w:pStyle w:val="enumlev1"/>
        <w:tabs>
          <w:tab w:val="clear" w:pos="1134"/>
        </w:tabs>
        <w:ind w:leftChars="236" w:left="566" w:rightChars="295" w:right="708" w:firstLine="0"/>
        <w:jc w:val="both"/>
        <w:rPr>
          <w:rFonts w:eastAsia="SimSun"/>
          <w:i/>
          <w:iCs/>
          <w:lang w:eastAsia="zh-CN"/>
        </w:rPr>
      </w:pPr>
      <w:r>
        <w:rPr>
          <w:rFonts w:eastAsia="SimSun"/>
          <w:i/>
          <w:iCs/>
          <w:lang w:eastAsia="zh-CN"/>
        </w:rPr>
        <w:t>“This Report provides a broad view of future technical aspects of terrestrial IMT systems considering the time frame up to</w:t>
      </w:r>
      <w:r>
        <w:rPr>
          <w:rFonts w:eastAsia="SimSun" w:hint="eastAsia"/>
          <w:i/>
          <w:iCs/>
          <w:lang w:eastAsia="zh-CN"/>
        </w:rPr>
        <w:t xml:space="preserve"> </w:t>
      </w:r>
      <w:r>
        <w:rPr>
          <w:rFonts w:eastAsia="SimSun"/>
          <w:i/>
          <w:iCs/>
          <w:lang w:eastAsia="zh-CN"/>
        </w:rPr>
        <w:t>2030 and beyond. It includes information on technical and operational characteristics of terrestrial IMT systems, including the evolution of IMT through advances in technology and spectrally-efficient techniques, and their deployment.”</w:t>
      </w:r>
    </w:p>
    <w:p w14:paraId="688DDCD1" w14:textId="0AB8DB90" w:rsidR="0087356F" w:rsidRDefault="0087356F" w:rsidP="0087356F">
      <w:pPr>
        <w:rPr>
          <w:lang w:val="en-US" w:eastAsia="zh-CN"/>
        </w:rPr>
      </w:pPr>
      <w:r>
        <w:rPr>
          <w:rFonts w:hint="eastAsia"/>
          <w:lang w:eastAsia="zh-CN"/>
        </w:rPr>
        <w:t>F</w:t>
      </w:r>
      <w:r>
        <w:rPr>
          <w:lang w:eastAsia="zh-CN"/>
        </w:rPr>
        <w:t>or</w:t>
      </w:r>
      <w:r>
        <w:rPr>
          <w:lang w:val="en-US" w:eastAsia="zh-CN"/>
        </w:rPr>
        <w:t xml:space="preserve"> the development of th</w:t>
      </w:r>
      <w:r>
        <w:rPr>
          <w:rFonts w:hint="eastAsia"/>
          <w:lang w:val="en-US" w:eastAsia="zh-CN"/>
        </w:rPr>
        <w:t>is report</w:t>
      </w:r>
      <w:r w:rsidR="00A93B29">
        <w:rPr>
          <w:lang w:val="en-US" w:eastAsia="zh-CN"/>
        </w:rPr>
        <w:t xml:space="preserve">, </w:t>
      </w:r>
      <w:r>
        <w:rPr>
          <w:lang w:val="en-US" w:eastAsia="zh-CN"/>
        </w:rPr>
        <w:t>WP 5D invites the views of External Organizations on future technology trends for terrestrial IMT systems</w:t>
      </w:r>
      <w:r>
        <w:rPr>
          <w:rFonts w:hint="eastAsia"/>
          <w:lang w:val="en-US" w:eastAsia="zh-CN"/>
        </w:rPr>
        <w:t>, including but not limited</w:t>
      </w:r>
      <w:r>
        <w:rPr>
          <w:lang w:val="en-US" w:eastAsia="zh-CN"/>
        </w:rPr>
        <w:t xml:space="preserve"> to </w:t>
      </w:r>
      <w:r>
        <w:rPr>
          <w:lang w:eastAsia="zh-CN"/>
        </w:rPr>
        <w:t>the motivation on driving factors such as new use cases, applications, capabilities, technology trends and enablers. These technical inputs are intended for the timeframe towards 2030 and beyond and are proposed to be significantly advanced and different from that of IMT-2020.</w:t>
      </w:r>
      <w:r>
        <w:rPr>
          <w:rFonts w:hint="eastAsia"/>
          <w:lang w:val="en-US" w:eastAsia="zh-CN"/>
        </w:rPr>
        <w:t xml:space="preserve"> </w:t>
      </w:r>
    </w:p>
    <w:p w14:paraId="255D20AF" w14:textId="0E114EF2" w:rsidR="0087356F" w:rsidRDefault="0087356F" w:rsidP="0087356F">
      <w:pPr>
        <w:snapToGrid w:val="0"/>
        <w:spacing w:beforeLines="50"/>
        <w:jc w:val="both"/>
        <w:rPr>
          <w:lang w:eastAsia="zh-CN"/>
        </w:rPr>
      </w:pPr>
      <w:r>
        <w:rPr>
          <w:rFonts w:eastAsia="MS Mincho"/>
          <w:lang w:eastAsia="ja-JP"/>
        </w:rPr>
        <w:t xml:space="preserve">The draft structure of new Report </w:t>
      </w:r>
      <w:r>
        <w:rPr>
          <w:lang w:eastAsia="zh-CN"/>
        </w:rPr>
        <w:t>ITU-R M.[IMT.FUTURE TECHNOLOGY TRENDS]</w:t>
      </w:r>
      <w:r>
        <w:rPr>
          <w:lang w:eastAsia="ja-JP"/>
        </w:rPr>
        <w:t xml:space="preserve"> is</w:t>
      </w:r>
      <w:r>
        <w:rPr>
          <w:lang w:eastAsia="zh-CN"/>
        </w:rPr>
        <w:t xml:space="preserve"> in Annex 1</w:t>
      </w:r>
      <w:r>
        <w:rPr>
          <w:lang w:eastAsia="ja-JP"/>
        </w:rPr>
        <w:t>.</w:t>
      </w:r>
    </w:p>
    <w:p w14:paraId="00BB9C7D" w14:textId="77777777" w:rsidR="0087356F" w:rsidRDefault="0087356F" w:rsidP="0087356F">
      <w:pPr>
        <w:rPr>
          <w:lang w:eastAsia="zh-CN"/>
        </w:rPr>
      </w:pPr>
      <w:r>
        <w:rPr>
          <w:lang w:eastAsia="zh-CN"/>
        </w:rPr>
        <w:lastRenderedPageBreak/>
        <w:t xml:space="preserve">Working </w:t>
      </w:r>
      <w:r>
        <w:rPr>
          <w:lang w:eastAsia="ko-KR"/>
        </w:rPr>
        <w:t>P</w:t>
      </w:r>
      <w:r>
        <w:rPr>
          <w:lang w:eastAsia="zh-CN"/>
        </w:rPr>
        <w:t>arty 5D kindly requests the</w:t>
      </w:r>
      <w:r>
        <w:rPr>
          <w:rFonts w:eastAsia="SimSun"/>
          <w:lang w:eastAsia="zh-CN"/>
        </w:rPr>
        <w:t xml:space="preserve"> </w:t>
      </w:r>
      <w:r>
        <w:rPr>
          <w:rFonts w:eastAsia="SimSun" w:hint="eastAsia"/>
          <w:lang w:eastAsia="zh-CN"/>
        </w:rPr>
        <w:t>E</w:t>
      </w:r>
      <w:r>
        <w:rPr>
          <w:rFonts w:eastAsia="SimSun"/>
          <w:lang w:eastAsia="zh-CN"/>
        </w:rPr>
        <w:t xml:space="preserve">xternal </w:t>
      </w:r>
      <w:r>
        <w:rPr>
          <w:rFonts w:eastAsia="SimSun" w:hint="eastAsia"/>
          <w:lang w:eastAsia="zh-CN"/>
        </w:rPr>
        <w:t>O</w:t>
      </w:r>
      <w:r>
        <w:rPr>
          <w:rFonts w:eastAsia="SimSun"/>
          <w:lang w:eastAsia="zh-CN"/>
        </w:rPr>
        <w:t xml:space="preserve">rganizations </w:t>
      </w:r>
      <w:r>
        <w:rPr>
          <w:lang w:eastAsia="zh-CN"/>
        </w:rPr>
        <w:t xml:space="preserve">to share their </w:t>
      </w:r>
      <w:r>
        <w:rPr>
          <w:rFonts w:eastAsia="SimSun"/>
          <w:lang w:eastAsia="zh-CN"/>
        </w:rPr>
        <w:t>information prior to the 38</w:t>
      </w:r>
      <w:r w:rsidRPr="00966848">
        <w:rPr>
          <w:rFonts w:eastAsia="SimSun"/>
          <w:vertAlign w:val="superscript"/>
          <w:lang w:eastAsia="zh-CN"/>
        </w:rPr>
        <w:t>th</w:t>
      </w:r>
      <w:r>
        <w:rPr>
          <w:rFonts w:eastAsia="SimSun"/>
          <w:lang w:eastAsia="zh-CN"/>
        </w:rPr>
        <w:t xml:space="preserve"> meeting of WP 5D, 6-18 June 2021. The deadline for input contributions to the 38</w:t>
      </w:r>
      <w:r w:rsidRPr="00966848">
        <w:rPr>
          <w:rFonts w:eastAsia="SimSun"/>
          <w:vertAlign w:val="superscript"/>
          <w:lang w:eastAsia="zh-CN"/>
        </w:rPr>
        <w:t>th</w:t>
      </w:r>
      <w:r>
        <w:rPr>
          <w:rFonts w:eastAsia="SimSun"/>
          <w:lang w:eastAsia="zh-CN"/>
        </w:rPr>
        <w:t xml:space="preserve"> meeting is 31 May 2021. It is noted that the 39</w:t>
      </w:r>
      <w:r w:rsidRPr="00966848">
        <w:rPr>
          <w:rFonts w:eastAsia="SimSun"/>
          <w:vertAlign w:val="superscript"/>
          <w:lang w:eastAsia="zh-CN"/>
        </w:rPr>
        <w:t>th</w:t>
      </w:r>
      <w:r>
        <w:rPr>
          <w:rFonts w:eastAsia="SimSun"/>
          <w:lang w:eastAsia="zh-CN"/>
        </w:rPr>
        <w:t xml:space="preserve"> meeting of WP 5D is scheduled for 4-15 October 2021, and additional inputs will also be recognised during this meeting as well. </w:t>
      </w:r>
    </w:p>
    <w:p w14:paraId="1A951A90" w14:textId="45D85A32" w:rsidR="0087356F" w:rsidRDefault="0087356F" w:rsidP="0087356F">
      <w:pPr>
        <w:jc w:val="both"/>
        <w:rPr>
          <w:lang w:val="en-US" w:eastAsia="zh-CN"/>
        </w:rPr>
      </w:pPr>
      <w:r>
        <w:rPr>
          <w:lang w:val="en-US" w:eastAsia="zh-CN"/>
        </w:rPr>
        <w:t xml:space="preserve">WP 5D looks forward to collaborating productively with </w:t>
      </w:r>
      <w:r>
        <w:rPr>
          <w:rFonts w:hint="eastAsia"/>
          <w:lang w:val="en-US" w:eastAsia="zh-CN"/>
        </w:rPr>
        <w:t>E</w:t>
      </w:r>
      <w:r>
        <w:rPr>
          <w:lang w:val="en-US" w:eastAsia="zh-CN"/>
        </w:rPr>
        <w:t xml:space="preserve">xternal </w:t>
      </w:r>
      <w:r>
        <w:rPr>
          <w:rFonts w:hint="eastAsia"/>
          <w:lang w:val="en-US" w:eastAsia="zh-CN"/>
        </w:rPr>
        <w:t>O</w:t>
      </w:r>
      <w:r>
        <w:rPr>
          <w:lang w:val="en-US" w:eastAsia="zh-CN"/>
        </w:rPr>
        <w:t>rganizations on this matter</w:t>
      </w:r>
      <w:r w:rsidR="00A93B29">
        <w:rPr>
          <w:lang w:val="en-US" w:eastAsia="zh-CN"/>
        </w:rPr>
        <w:t>.</w:t>
      </w:r>
    </w:p>
    <w:p w14:paraId="18091791" w14:textId="77777777" w:rsidR="00A93B29" w:rsidRPr="00966848" w:rsidRDefault="00A93B29" w:rsidP="0087356F">
      <w:pPr>
        <w:jc w:val="both"/>
        <w:rPr>
          <w:lang w:val="en-US" w:eastAsia="zh-CN"/>
        </w:rPr>
      </w:pPr>
    </w:p>
    <w:tbl>
      <w:tblPr>
        <w:tblStyle w:val="TableGrid8"/>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667"/>
      </w:tblGrid>
      <w:tr w:rsidR="0087356F" w14:paraId="1CC8360A" w14:textId="77777777" w:rsidTr="006A2338">
        <w:tc>
          <w:tcPr>
            <w:tcW w:w="4962" w:type="dxa"/>
          </w:tcPr>
          <w:p w14:paraId="6528BA16" w14:textId="77777777" w:rsidR="0087356F" w:rsidRDefault="0087356F" w:rsidP="006A2338">
            <w:pPr>
              <w:spacing w:after="240"/>
              <w:rPr>
                <w:lang w:val="en-US" w:eastAsia="zh-CN"/>
              </w:rPr>
            </w:pPr>
            <w:r>
              <w:rPr>
                <w:b/>
                <w:bCs/>
                <w:lang w:val="en-US" w:eastAsia="ja-JP"/>
              </w:rPr>
              <w:t>Status:</w:t>
            </w:r>
            <w:r>
              <w:rPr>
                <w:lang w:val="en-US" w:eastAsia="ja-JP"/>
              </w:rPr>
              <w:tab/>
              <w:t xml:space="preserve">For </w:t>
            </w:r>
            <w:r>
              <w:rPr>
                <w:rFonts w:hint="eastAsia"/>
                <w:lang w:val="en-US" w:eastAsia="zh-CN"/>
              </w:rPr>
              <w:t xml:space="preserve">information and </w:t>
            </w:r>
            <w:r>
              <w:rPr>
                <w:lang w:val="en-US" w:eastAsia="zh-CN"/>
              </w:rPr>
              <w:t>action</w:t>
            </w:r>
          </w:p>
        </w:tc>
        <w:tc>
          <w:tcPr>
            <w:tcW w:w="4667" w:type="dxa"/>
          </w:tcPr>
          <w:p w14:paraId="6677CB89" w14:textId="77777777" w:rsidR="0087356F" w:rsidRDefault="0087356F" w:rsidP="006A2338">
            <w:pPr>
              <w:rPr>
                <w:rFonts w:asciiTheme="majorBidi" w:hAnsiTheme="majorBidi" w:cstheme="majorBidi"/>
                <w:lang w:val="en-US" w:eastAsia="ja-JP"/>
              </w:rPr>
            </w:pPr>
          </w:p>
        </w:tc>
      </w:tr>
      <w:tr w:rsidR="0087356F" w14:paraId="1F6558A4" w14:textId="77777777" w:rsidTr="006A2338">
        <w:tc>
          <w:tcPr>
            <w:tcW w:w="4962" w:type="dxa"/>
          </w:tcPr>
          <w:p w14:paraId="47CDED5B" w14:textId="77777777" w:rsidR="0087356F" w:rsidRDefault="0087356F" w:rsidP="006A2338">
            <w:pPr>
              <w:rPr>
                <w:b/>
                <w:lang w:val="en-US" w:eastAsia="ja-JP"/>
              </w:rPr>
            </w:pPr>
            <w:r>
              <w:rPr>
                <w:b/>
                <w:bCs/>
                <w:lang w:val="en-US" w:eastAsia="zh-CN"/>
              </w:rPr>
              <w:t>Contact:</w:t>
            </w:r>
            <w:r>
              <w:rPr>
                <w:lang w:val="en-US" w:eastAsia="zh-CN"/>
              </w:rPr>
              <w:tab/>
              <w:t>Mr. Uwe Lowenstein</w:t>
            </w:r>
          </w:p>
        </w:tc>
        <w:tc>
          <w:tcPr>
            <w:tcW w:w="4667" w:type="dxa"/>
          </w:tcPr>
          <w:p w14:paraId="4217A017" w14:textId="79ACA2B9" w:rsidR="0087356F" w:rsidRDefault="0087356F" w:rsidP="006A2338">
            <w:pPr>
              <w:rPr>
                <w:rFonts w:asciiTheme="majorBidi" w:hAnsiTheme="majorBidi" w:cstheme="majorBidi"/>
                <w:color w:val="0000FF"/>
                <w:u w:val="single"/>
                <w:lang w:val="en-US" w:eastAsia="zh-CN"/>
              </w:rPr>
            </w:pPr>
            <w:r>
              <w:rPr>
                <w:rFonts w:asciiTheme="majorBidi" w:hAnsiTheme="majorBidi" w:cstheme="majorBidi"/>
                <w:b/>
                <w:bCs/>
                <w:lang w:val="en-US" w:eastAsia="zh-CN"/>
              </w:rPr>
              <w:t>E-mail:</w:t>
            </w:r>
            <w:r>
              <w:rPr>
                <w:rFonts w:asciiTheme="majorBidi" w:hAnsiTheme="majorBidi" w:cstheme="majorBidi"/>
                <w:b/>
                <w:bCs/>
                <w:color w:val="0000FF"/>
                <w:lang w:val="en-US" w:eastAsia="zh-CN"/>
              </w:rPr>
              <w:tab/>
            </w:r>
            <w:hyperlink r:id="rId9" w:history="1">
              <w:r w:rsidR="00A93B29" w:rsidRPr="001E1305">
                <w:rPr>
                  <w:rStyle w:val="Hyperlink"/>
                  <w:rFonts w:asciiTheme="majorBidi" w:hAnsiTheme="majorBidi" w:cstheme="majorBidi"/>
                  <w:lang w:val="en-US" w:eastAsia="zh-CN"/>
                </w:rPr>
                <w:t>uwe.loewenstein@itu.int</w:t>
              </w:r>
            </w:hyperlink>
          </w:p>
        </w:tc>
      </w:tr>
    </w:tbl>
    <w:p w14:paraId="1DEE2E36" w14:textId="611FD21C" w:rsidR="0087356F" w:rsidRDefault="00B85CD8" w:rsidP="00B85CD8">
      <w:pPr>
        <w:tabs>
          <w:tab w:val="clear" w:pos="1871"/>
          <w:tab w:val="clear" w:pos="2268"/>
        </w:tabs>
        <w:overflowPunct/>
        <w:autoSpaceDE/>
        <w:autoSpaceDN/>
        <w:adjustRightInd/>
        <w:spacing w:before="0"/>
        <w:textAlignment w:val="auto"/>
        <w:rPr>
          <w:lang w:eastAsia="zh-CN"/>
        </w:rPr>
      </w:pPr>
      <w:r>
        <w:rPr>
          <w:lang w:eastAsia="zh-CN"/>
        </w:rPr>
        <w:tab/>
      </w:r>
      <w:r>
        <w:rPr>
          <w:lang w:eastAsia="zh-CN"/>
        </w:rPr>
        <w:tab/>
        <w:t xml:space="preserve">Counsellor ITU-R SG5 </w:t>
      </w:r>
      <w:r w:rsidR="0087356F">
        <w:rPr>
          <w:lang w:eastAsia="zh-CN"/>
        </w:rPr>
        <w:br w:type="page"/>
      </w:r>
    </w:p>
    <w:p w14:paraId="367550D1" w14:textId="4AC73046" w:rsidR="0087356F" w:rsidRDefault="0087356F" w:rsidP="00A93B29">
      <w:pPr>
        <w:pStyle w:val="AnnexNo"/>
        <w:rPr>
          <w:lang w:eastAsia="zh-CN"/>
        </w:rPr>
      </w:pPr>
      <w:r>
        <w:rPr>
          <w:lang w:eastAsia="zh-CN"/>
        </w:rPr>
        <w:lastRenderedPageBreak/>
        <w:t>A</w:t>
      </w:r>
      <w:r w:rsidR="00B85CD8">
        <w:rPr>
          <w:lang w:eastAsia="zh-CN"/>
        </w:rPr>
        <w:t>TTACHMENT</w:t>
      </w:r>
      <w:r>
        <w:rPr>
          <w:lang w:eastAsia="zh-CN"/>
        </w:rPr>
        <w:t xml:space="preserve"> 1</w:t>
      </w:r>
    </w:p>
    <w:p w14:paraId="14C9B6A4" w14:textId="77777777" w:rsidR="0087356F" w:rsidRDefault="0087356F" w:rsidP="00A93B29">
      <w:pPr>
        <w:pStyle w:val="Annextitle"/>
        <w:rPr>
          <w:lang w:eastAsia="zh-CN"/>
        </w:rPr>
      </w:pPr>
      <w:r>
        <w:rPr>
          <w:lang w:eastAsia="zh-CN"/>
        </w:rPr>
        <w:t>High Level Structure of the Working Document</w:t>
      </w:r>
    </w:p>
    <w:p w14:paraId="19706103" w14:textId="52F3C94F" w:rsidR="0087356F" w:rsidRDefault="0087356F" w:rsidP="00A93B29">
      <w:pPr>
        <w:pStyle w:val="Note"/>
        <w:rPr>
          <w:lang w:eastAsia="zh-CN"/>
        </w:rPr>
      </w:pPr>
      <w:r>
        <w:rPr>
          <w:lang w:eastAsia="zh-CN"/>
        </w:rPr>
        <w:t>Note: This structure is subject to adjustment going forward pending input from External Organizations and future contributions to ITU-R WP 5D</w:t>
      </w:r>
    </w:p>
    <w:p w14:paraId="3246E4C5" w14:textId="77777777" w:rsidR="0087356F" w:rsidRDefault="0087356F" w:rsidP="00A93B29">
      <w:pPr>
        <w:pStyle w:val="Normalaftertitle0"/>
      </w:pPr>
      <w:r>
        <w:t>Introduction</w:t>
      </w:r>
    </w:p>
    <w:p w14:paraId="64C339EC" w14:textId="77777777" w:rsidR="0087356F" w:rsidRDefault="0087356F" w:rsidP="00A93B29">
      <w:r>
        <w:t>Scope</w:t>
      </w:r>
    </w:p>
    <w:p w14:paraId="30920334" w14:textId="7AFBCA1A" w:rsidR="0087356F" w:rsidRDefault="0087356F" w:rsidP="00A93B29">
      <w:pPr>
        <w:rPr>
          <w:szCs w:val="28"/>
          <w:lang w:eastAsia="ko-KR"/>
        </w:rPr>
      </w:pPr>
      <w:r w:rsidRPr="00A85D25">
        <w:rPr>
          <w:rFonts w:eastAsia="SimSun"/>
          <w:szCs w:val="28"/>
        </w:rPr>
        <w:t xml:space="preserve">Motivation on driving factors for </w:t>
      </w:r>
      <w:r w:rsidRPr="00A85D25">
        <w:rPr>
          <w:szCs w:val="28"/>
        </w:rPr>
        <w:t>future technology trends</w:t>
      </w:r>
      <w:r w:rsidRPr="00A85D25">
        <w:rPr>
          <w:szCs w:val="28"/>
          <w:lang w:eastAsia="ko-KR"/>
        </w:rPr>
        <w:t xml:space="preserve"> towards 2030 and beyond</w:t>
      </w:r>
    </w:p>
    <w:p w14:paraId="6C91AE04" w14:textId="2885428E" w:rsidR="0087356F" w:rsidRDefault="0087356F" w:rsidP="00A93B29">
      <w:pPr>
        <w:rPr>
          <w:lang w:eastAsia="ko-KR"/>
        </w:rPr>
      </w:pPr>
      <w:r w:rsidRPr="00A85D25">
        <w:t>Driving</w:t>
      </w:r>
      <w:r w:rsidRPr="00A85D25">
        <w:rPr>
          <w:lang w:eastAsia="ko-KR"/>
        </w:rPr>
        <w:t xml:space="preserve"> factors in the design of future IMT technology</w:t>
      </w:r>
    </w:p>
    <w:p w14:paraId="2BCDBE46" w14:textId="1B5705D9" w:rsidR="0087356F" w:rsidRDefault="0087356F" w:rsidP="00A93B29">
      <w:pPr>
        <w:rPr>
          <w:szCs w:val="28"/>
          <w:lang w:eastAsia="ko-KR"/>
        </w:rPr>
      </w:pPr>
      <w:r w:rsidRPr="00A85D25">
        <w:rPr>
          <w:szCs w:val="28"/>
          <w:lang w:eastAsia="ko-KR"/>
        </w:rPr>
        <w:t>Technology Trends and Enablers</w:t>
      </w:r>
    </w:p>
    <w:p w14:paraId="0F094FC9" w14:textId="74881B83" w:rsidR="0087356F" w:rsidRDefault="0087356F" w:rsidP="00A93B29">
      <w:pPr>
        <w:rPr>
          <w:lang w:eastAsia="ko-KR"/>
        </w:rPr>
      </w:pPr>
      <w:r w:rsidRPr="00A85D25">
        <w:rPr>
          <w:lang w:eastAsia="ko-KR"/>
        </w:rPr>
        <w:t>Technologies to enhance the radio interface</w:t>
      </w:r>
    </w:p>
    <w:p w14:paraId="73468904" w14:textId="24946DF2" w:rsidR="0087356F" w:rsidRDefault="0087356F" w:rsidP="00A93B29">
      <w:pPr>
        <w:rPr>
          <w:lang w:eastAsia="ko-KR"/>
        </w:rPr>
      </w:pPr>
      <w:r w:rsidRPr="00A85D25">
        <w:t xml:space="preserve">Technologies to </w:t>
      </w:r>
      <w:r w:rsidRPr="00A85D25">
        <w:rPr>
          <w:lang w:eastAsia="ko-KR"/>
        </w:rPr>
        <w:t>enhance radio network performance and precision</w:t>
      </w:r>
    </w:p>
    <w:p w14:paraId="740344BA" w14:textId="77777777" w:rsidR="0087356F" w:rsidRDefault="0087356F" w:rsidP="00A93B29">
      <w:pPr>
        <w:rPr>
          <w:lang w:eastAsia="ko-KR"/>
        </w:rPr>
      </w:pPr>
      <w:r w:rsidRPr="00A85D25">
        <w:rPr>
          <w:lang w:eastAsia="ko-KR"/>
        </w:rPr>
        <w:t xml:space="preserve">Technologies </w:t>
      </w:r>
      <w:r w:rsidRPr="00A85D25">
        <w:t>for</w:t>
      </w:r>
      <w:bookmarkStart w:id="9" w:name="_Toc51492059"/>
      <w:bookmarkStart w:id="10" w:name="_Toc51491331"/>
      <w:bookmarkStart w:id="11" w:name="_Toc51490293"/>
      <w:bookmarkStart w:id="12" w:name="_Toc51490237"/>
      <w:r w:rsidRPr="00A85D25">
        <w:rPr>
          <w:lang w:eastAsia="ko-KR"/>
        </w:rPr>
        <w:t xml:space="preserve"> native AI based communication</w:t>
      </w:r>
      <w:bookmarkEnd w:id="9"/>
      <w:bookmarkEnd w:id="10"/>
      <w:bookmarkEnd w:id="11"/>
      <w:bookmarkEnd w:id="12"/>
    </w:p>
    <w:p w14:paraId="3C709186" w14:textId="77777777" w:rsidR="0087356F" w:rsidRDefault="0087356F" w:rsidP="00A93B29">
      <w:pPr>
        <w:rPr>
          <w:lang w:eastAsia="ko-KR"/>
        </w:rPr>
      </w:pPr>
      <w:r w:rsidRPr="00A85D25">
        <w:t xml:space="preserve">Technologies to enhance </w:t>
      </w:r>
      <w:r w:rsidRPr="00A85D25">
        <w:rPr>
          <w:lang w:eastAsia="ko-KR"/>
        </w:rPr>
        <w:t>service coverage</w:t>
      </w:r>
    </w:p>
    <w:p w14:paraId="458BA88E" w14:textId="77777777" w:rsidR="0087356F" w:rsidRDefault="0087356F" w:rsidP="00A93B29">
      <w:r w:rsidRPr="00A85D25">
        <w:t>Technologies to enhance privacy and security</w:t>
      </w:r>
    </w:p>
    <w:p w14:paraId="19CE387D" w14:textId="77777777" w:rsidR="0087356F" w:rsidRDefault="0087356F" w:rsidP="00A93B29">
      <w:pPr>
        <w:rPr>
          <w:lang w:eastAsia="ko-KR"/>
        </w:rPr>
      </w:pPr>
      <w:r w:rsidRPr="00A85D25">
        <w:t>Technologies</w:t>
      </w:r>
      <w:r w:rsidRPr="00A85D25">
        <w:rPr>
          <w:lang w:eastAsia="ko-KR"/>
        </w:rPr>
        <w:t xml:space="preserve"> for integrated sensing and communication</w:t>
      </w:r>
    </w:p>
    <w:p w14:paraId="1759D247" w14:textId="77777777" w:rsidR="0087356F" w:rsidRDefault="0087356F" w:rsidP="00A93B29">
      <w:pPr>
        <w:rPr>
          <w:lang w:eastAsia="ko-KR"/>
        </w:rPr>
      </w:pPr>
      <w:r w:rsidRPr="00A85D25">
        <w:rPr>
          <w:lang w:eastAsia="ko-KR"/>
        </w:rPr>
        <w:t>Technologies for integrated terrestrial and non-terrestrial communications</w:t>
      </w:r>
    </w:p>
    <w:p w14:paraId="6BE4B07A" w14:textId="77777777" w:rsidR="0087356F" w:rsidRDefault="0087356F" w:rsidP="00A93B29">
      <w:pPr>
        <w:rPr>
          <w:lang w:eastAsia="ko-KR"/>
        </w:rPr>
      </w:pPr>
      <w:r w:rsidRPr="00A85D25">
        <w:rPr>
          <w:lang w:eastAsia="ko-KR"/>
        </w:rPr>
        <w:t>Technologies for integrated access and super sidelink communications</w:t>
      </w:r>
    </w:p>
    <w:p w14:paraId="3F532B7C" w14:textId="77777777" w:rsidR="0087356F" w:rsidRDefault="0087356F" w:rsidP="00A93B29">
      <w:pPr>
        <w:rPr>
          <w:lang w:eastAsia="ko-KR"/>
        </w:rPr>
      </w:pPr>
      <w:r w:rsidRPr="005F137C">
        <w:rPr>
          <w:lang w:eastAsia="ko-KR"/>
        </w:rPr>
        <w:t>Technologies to enhance adaptability and sustainability</w:t>
      </w:r>
    </w:p>
    <w:p w14:paraId="74B814ED" w14:textId="77777777" w:rsidR="0087356F" w:rsidRDefault="0087356F" w:rsidP="00A93B29">
      <w:pPr>
        <w:rPr>
          <w:lang w:eastAsia="ko-KR"/>
        </w:rPr>
      </w:pPr>
      <w:bookmarkStart w:id="13" w:name="_Toc51492067"/>
      <w:bookmarkStart w:id="14" w:name="_Toc51491339"/>
      <w:bookmarkStart w:id="15" w:name="_Toc51490301"/>
      <w:bookmarkStart w:id="16" w:name="_Toc51490245"/>
      <w:r w:rsidRPr="00A85D25">
        <w:rPr>
          <w:lang w:eastAsia="ko-KR"/>
        </w:rPr>
        <w:t>Technologies for efficient spectrum utilization</w:t>
      </w:r>
      <w:bookmarkEnd w:id="13"/>
      <w:bookmarkEnd w:id="14"/>
      <w:bookmarkEnd w:id="15"/>
      <w:bookmarkEnd w:id="16"/>
    </w:p>
    <w:p w14:paraId="5507C2FB" w14:textId="77777777" w:rsidR="0087356F" w:rsidRDefault="0087356F" w:rsidP="00A93B29">
      <w:pPr>
        <w:rPr>
          <w:lang w:eastAsia="ko-KR"/>
        </w:rPr>
      </w:pPr>
      <w:bookmarkStart w:id="17" w:name="_Toc51492068"/>
      <w:bookmarkStart w:id="18" w:name="_Toc51491340"/>
      <w:bookmarkStart w:id="19" w:name="_Toc51490302"/>
      <w:bookmarkStart w:id="20" w:name="_Toc51490246"/>
      <w:r w:rsidRPr="00A85D25">
        <w:rPr>
          <w:lang w:eastAsia="ko-KR"/>
        </w:rPr>
        <w:t>Terminal technologies</w:t>
      </w:r>
      <w:bookmarkEnd w:id="17"/>
      <w:bookmarkEnd w:id="18"/>
      <w:bookmarkEnd w:id="19"/>
      <w:bookmarkEnd w:id="20"/>
    </w:p>
    <w:p w14:paraId="25CFECD4" w14:textId="77777777" w:rsidR="0087356F" w:rsidRDefault="0087356F" w:rsidP="00A93B29">
      <w:pPr>
        <w:rPr>
          <w:lang w:eastAsia="zh-CN"/>
        </w:rPr>
      </w:pPr>
      <w:r w:rsidRPr="005F137C">
        <w:rPr>
          <w:lang w:eastAsia="zh-CN"/>
        </w:rPr>
        <w:t>Technologies to support a wide range of new use cases and applications</w:t>
      </w:r>
    </w:p>
    <w:p w14:paraId="34BD4C18" w14:textId="77777777" w:rsidR="0087356F" w:rsidRDefault="0087356F" w:rsidP="00A93B29">
      <w:pPr>
        <w:rPr>
          <w:szCs w:val="28"/>
        </w:rPr>
      </w:pPr>
      <w:r w:rsidRPr="00A85D25">
        <w:rPr>
          <w:rFonts w:eastAsia="Malgun Gothic"/>
          <w:szCs w:val="28"/>
          <w:lang w:eastAsia="ko-KR"/>
        </w:rPr>
        <w:t xml:space="preserve">Summary and </w:t>
      </w:r>
      <w:r w:rsidRPr="00A85D25">
        <w:rPr>
          <w:szCs w:val="28"/>
        </w:rPr>
        <w:t>Conclusion</w:t>
      </w:r>
    </w:p>
    <w:p w14:paraId="5D1D0EB5" w14:textId="7F0E41FE" w:rsidR="0087356F" w:rsidRDefault="0087356F" w:rsidP="00A93B29">
      <w:pPr>
        <w:rPr>
          <w:lang w:eastAsia="ko-KR"/>
        </w:rPr>
      </w:pPr>
      <w:r w:rsidRPr="005F137C">
        <w:rPr>
          <w:rFonts w:eastAsia="SimSun"/>
          <w:szCs w:val="28"/>
        </w:rPr>
        <w:t>Acronyms</w:t>
      </w:r>
      <w:r>
        <w:rPr>
          <w:rFonts w:eastAsia="SimSun"/>
          <w:szCs w:val="28"/>
        </w:rPr>
        <w:t xml:space="preserve">, </w:t>
      </w:r>
      <w:r w:rsidR="00A93B29">
        <w:rPr>
          <w:rFonts w:eastAsia="SimSun"/>
          <w:szCs w:val="28"/>
        </w:rPr>
        <w:t>Terminology</w:t>
      </w:r>
      <w:r>
        <w:rPr>
          <w:rFonts w:eastAsia="SimSun"/>
          <w:szCs w:val="28"/>
        </w:rPr>
        <w:t>, Abbreviations</w:t>
      </w:r>
    </w:p>
    <w:p w14:paraId="44A3E4DE" w14:textId="4E8152E1" w:rsidR="000069D4" w:rsidRPr="0087356F" w:rsidRDefault="0087356F" w:rsidP="00AE4E99">
      <w:pPr>
        <w:tabs>
          <w:tab w:val="clear" w:pos="1134"/>
          <w:tab w:val="clear" w:pos="1871"/>
          <w:tab w:val="clear" w:pos="2268"/>
        </w:tabs>
        <w:overflowPunct/>
        <w:autoSpaceDE/>
        <w:autoSpaceDN/>
        <w:adjustRightInd/>
        <w:spacing w:before="720"/>
        <w:jc w:val="center"/>
        <w:textAlignment w:val="auto"/>
        <w:rPr>
          <w:lang w:eastAsia="zh-CN"/>
        </w:rPr>
      </w:pPr>
      <w:r>
        <w:rPr>
          <w:lang w:eastAsia="zh-CN"/>
        </w:rPr>
        <w:t>_____________</w:t>
      </w:r>
    </w:p>
    <w:sectPr w:rsidR="000069D4" w:rsidRPr="0087356F" w:rsidSect="00C302E0">
      <w:headerReference w:type="default" r:id="rId10"/>
      <w:pgSz w:w="11907" w:h="16834"/>
      <w:pgMar w:top="1418" w:right="1134" w:bottom="1418" w:left="1134" w:header="720" w:footer="720" w:gutter="0"/>
      <w:paperSrc w:first="15" w:other="15"/>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5E1B" w14:textId="77777777" w:rsidR="00811488" w:rsidRDefault="00811488">
      <w:r>
        <w:separator/>
      </w:r>
    </w:p>
  </w:endnote>
  <w:endnote w:type="continuationSeparator" w:id="0">
    <w:p w14:paraId="0ECB59D9" w14:textId="77777777" w:rsidR="00811488" w:rsidRDefault="0081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81A1" w14:textId="77777777" w:rsidR="00811488" w:rsidRDefault="00811488">
      <w:r>
        <w:t>____________________</w:t>
      </w:r>
    </w:p>
  </w:footnote>
  <w:footnote w:type="continuationSeparator" w:id="0">
    <w:p w14:paraId="158B5187" w14:textId="77777777" w:rsidR="00811488" w:rsidRDefault="00811488">
      <w:r>
        <w:continuationSeparator/>
      </w:r>
    </w:p>
  </w:footnote>
  <w:footnote w:id="1">
    <w:p w14:paraId="62AB1CDA" w14:textId="21305C29" w:rsidR="0087356F" w:rsidRDefault="0087356F" w:rsidP="0087356F">
      <w:pPr>
        <w:pStyle w:val="FootnoteText"/>
        <w:rPr>
          <w:lang w:eastAsia="ja-JP"/>
        </w:rPr>
      </w:pPr>
      <w:r w:rsidRPr="00A7608E">
        <w:rPr>
          <w:rStyle w:val="FootnoteReference"/>
        </w:rPr>
        <w:footnoteRef/>
      </w:r>
      <w:r w:rsidRPr="00A7608E">
        <w:t xml:space="preserve"> </w:t>
      </w:r>
      <w:r w:rsidR="00BF7FC6" w:rsidRPr="00A7608E">
        <w:rPr>
          <w:lang w:eastAsia="ko-KR"/>
        </w:rPr>
        <w:t>3GPP</w:t>
      </w:r>
      <w:r w:rsidR="00BF7FC6">
        <w:rPr>
          <w:lang w:eastAsia="ko-KR"/>
        </w:rPr>
        <w:t xml:space="preserve">, </w:t>
      </w:r>
      <w:r w:rsidR="00BF7FC6" w:rsidRPr="00314179">
        <w:rPr>
          <w:lang w:eastAsia="ja-JP"/>
        </w:rPr>
        <w:t>5G Automotive Association, 79 GHz Project, ARIB, ATIS, AWG, C2C</w:t>
      </w:r>
      <w:r w:rsidR="00BF7FC6">
        <w:rPr>
          <w:lang w:eastAsia="ja-JP"/>
        </w:rPr>
        <w:noBreakHyphen/>
      </w:r>
      <w:r w:rsidR="00BF7FC6" w:rsidRPr="00314179">
        <w:rPr>
          <w:lang w:eastAsia="ja-JP"/>
        </w:rPr>
        <w:t xml:space="preserve">CC, </w:t>
      </w:r>
      <w:r w:rsidR="00BF7FC6">
        <w:rPr>
          <w:lang w:eastAsia="ja-JP"/>
        </w:rPr>
        <w:t>CCSA, CEPT ECC, C-Roads,</w:t>
      </w:r>
      <w:r w:rsidR="00BF7FC6" w:rsidRPr="00314179">
        <w:rPr>
          <w:lang w:eastAsia="ja-JP"/>
        </w:rPr>
        <w:t xml:space="preserve"> ETSI ISG MEC, ETSI TC ERM, ETSI TC ITS, ETSI TC MSG, GSA, IEEE, IETF ITS, ISO TC 204, </w:t>
      </w:r>
      <w:r w:rsidR="00B30B5E">
        <w:rPr>
          <w:lang w:eastAsia="ja-JP"/>
        </w:rPr>
        <w:t xml:space="preserve">ITRI, </w:t>
      </w:r>
      <w:r w:rsidR="00BF7FC6" w:rsidRPr="00314179">
        <w:rPr>
          <w:lang w:eastAsia="ja-JP"/>
        </w:rPr>
        <w:t xml:space="preserve">MFA, SAE C-V2X TC, </w:t>
      </w:r>
      <w:r w:rsidR="00BF7FC6">
        <w:rPr>
          <w:lang w:eastAsia="ja-JP"/>
        </w:rPr>
        <w:t xml:space="preserve">TEC, </w:t>
      </w:r>
      <w:r w:rsidR="00BF7FC6" w:rsidRPr="00314179">
        <w:rPr>
          <w:lang w:eastAsia="ja-JP"/>
        </w:rPr>
        <w:t xml:space="preserve">TIA, </w:t>
      </w:r>
      <w:r w:rsidR="00BF7FC6" w:rsidRPr="00397BE1">
        <w:rPr>
          <w:lang w:eastAsia="ja-JP"/>
        </w:rPr>
        <w:t>TSDSI,</w:t>
      </w:r>
      <w:r w:rsidR="00BF7FC6">
        <w:rPr>
          <w:lang w:eastAsia="ja-JP"/>
        </w:rPr>
        <w:t xml:space="preserve"> </w:t>
      </w:r>
      <w:r w:rsidR="00BF7FC6" w:rsidRPr="00314179">
        <w:rPr>
          <w:lang w:eastAsia="ja-JP"/>
        </w:rPr>
        <w:t>TTA, Wi-Fi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CA2C" w14:textId="2C5B4EC0" w:rsidR="00FA124A" w:rsidRPr="00B85CD8" w:rsidRDefault="00FA124A" w:rsidP="00B85CD8">
    <w:pPr>
      <w:pStyle w:val="Heade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6F"/>
    <w:rsid w:val="000069D4"/>
    <w:rsid w:val="000174AD"/>
    <w:rsid w:val="00047A1D"/>
    <w:rsid w:val="00054D17"/>
    <w:rsid w:val="000604B9"/>
    <w:rsid w:val="000A7D55"/>
    <w:rsid w:val="000C12C8"/>
    <w:rsid w:val="000C2E8E"/>
    <w:rsid w:val="000E0E7C"/>
    <w:rsid w:val="000F1B4B"/>
    <w:rsid w:val="0012744F"/>
    <w:rsid w:val="00131178"/>
    <w:rsid w:val="00156F66"/>
    <w:rsid w:val="00163271"/>
    <w:rsid w:val="0016510F"/>
    <w:rsid w:val="00172122"/>
    <w:rsid w:val="00182528"/>
    <w:rsid w:val="0018500B"/>
    <w:rsid w:val="00196A19"/>
    <w:rsid w:val="001A257C"/>
    <w:rsid w:val="001D7895"/>
    <w:rsid w:val="001E1305"/>
    <w:rsid w:val="001E15F2"/>
    <w:rsid w:val="00202DC1"/>
    <w:rsid w:val="002116EE"/>
    <w:rsid w:val="00212111"/>
    <w:rsid w:val="002309D8"/>
    <w:rsid w:val="002568EE"/>
    <w:rsid w:val="002A7FE2"/>
    <w:rsid w:val="002E1B4F"/>
    <w:rsid w:val="002F2E67"/>
    <w:rsid w:val="002F7CB3"/>
    <w:rsid w:val="00315546"/>
    <w:rsid w:val="00323015"/>
    <w:rsid w:val="00330567"/>
    <w:rsid w:val="003645AE"/>
    <w:rsid w:val="00386A9D"/>
    <w:rsid w:val="00391081"/>
    <w:rsid w:val="003B2789"/>
    <w:rsid w:val="003C13CE"/>
    <w:rsid w:val="003C697E"/>
    <w:rsid w:val="003E2518"/>
    <w:rsid w:val="003E7CEF"/>
    <w:rsid w:val="004B1EF7"/>
    <w:rsid w:val="004B3FAD"/>
    <w:rsid w:val="004C5749"/>
    <w:rsid w:val="00501DCA"/>
    <w:rsid w:val="00513A47"/>
    <w:rsid w:val="00535701"/>
    <w:rsid w:val="005408DF"/>
    <w:rsid w:val="00573344"/>
    <w:rsid w:val="00583F9B"/>
    <w:rsid w:val="005B0D29"/>
    <w:rsid w:val="005E5C10"/>
    <w:rsid w:val="005F2C78"/>
    <w:rsid w:val="006144E4"/>
    <w:rsid w:val="00650299"/>
    <w:rsid w:val="00655FC5"/>
    <w:rsid w:val="006803D6"/>
    <w:rsid w:val="00694105"/>
    <w:rsid w:val="007A2E8B"/>
    <w:rsid w:val="007A3C3D"/>
    <w:rsid w:val="007E246E"/>
    <w:rsid w:val="0080538C"/>
    <w:rsid w:val="00811488"/>
    <w:rsid w:val="00814E0A"/>
    <w:rsid w:val="00822581"/>
    <w:rsid w:val="008309DD"/>
    <w:rsid w:val="0083227A"/>
    <w:rsid w:val="00866900"/>
    <w:rsid w:val="0087356F"/>
    <w:rsid w:val="00876A8A"/>
    <w:rsid w:val="00881BA1"/>
    <w:rsid w:val="008C2302"/>
    <w:rsid w:val="008C26B8"/>
    <w:rsid w:val="008F208F"/>
    <w:rsid w:val="00982084"/>
    <w:rsid w:val="00995963"/>
    <w:rsid w:val="009B61EB"/>
    <w:rsid w:val="009C2064"/>
    <w:rsid w:val="009D1697"/>
    <w:rsid w:val="009D30CE"/>
    <w:rsid w:val="009F3A46"/>
    <w:rsid w:val="009F6520"/>
    <w:rsid w:val="00A014F8"/>
    <w:rsid w:val="00A1080A"/>
    <w:rsid w:val="00A5173C"/>
    <w:rsid w:val="00A61AEF"/>
    <w:rsid w:val="00A7608E"/>
    <w:rsid w:val="00A93B29"/>
    <w:rsid w:val="00AB11A2"/>
    <w:rsid w:val="00AD2345"/>
    <w:rsid w:val="00AE4E99"/>
    <w:rsid w:val="00AF173A"/>
    <w:rsid w:val="00B066A4"/>
    <w:rsid w:val="00B07A13"/>
    <w:rsid w:val="00B30B5E"/>
    <w:rsid w:val="00B4279B"/>
    <w:rsid w:val="00B45FC9"/>
    <w:rsid w:val="00B76F35"/>
    <w:rsid w:val="00B81138"/>
    <w:rsid w:val="00B85CD8"/>
    <w:rsid w:val="00BB4A8D"/>
    <w:rsid w:val="00BC7CCF"/>
    <w:rsid w:val="00BD2748"/>
    <w:rsid w:val="00BE470B"/>
    <w:rsid w:val="00BF7FC6"/>
    <w:rsid w:val="00C302E0"/>
    <w:rsid w:val="00C31CED"/>
    <w:rsid w:val="00C57A91"/>
    <w:rsid w:val="00CC01C2"/>
    <w:rsid w:val="00CF21F2"/>
    <w:rsid w:val="00D02712"/>
    <w:rsid w:val="00D046A7"/>
    <w:rsid w:val="00D140D8"/>
    <w:rsid w:val="00D214D0"/>
    <w:rsid w:val="00D6546B"/>
    <w:rsid w:val="00DB178B"/>
    <w:rsid w:val="00DC17D3"/>
    <w:rsid w:val="00DD4BED"/>
    <w:rsid w:val="00DE39F0"/>
    <w:rsid w:val="00DF0AF3"/>
    <w:rsid w:val="00DF7E9F"/>
    <w:rsid w:val="00E27D7E"/>
    <w:rsid w:val="00E42E13"/>
    <w:rsid w:val="00E56D5C"/>
    <w:rsid w:val="00E6257C"/>
    <w:rsid w:val="00E63C59"/>
    <w:rsid w:val="00EB54BA"/>
    <w:rsid w:val="00F25662"/>
    <w:rsid w:val="00FA064B"/>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FCE71"/>
  <w15:docId w15:val="{A138E4C5-AD56-4EC8-B0F0-8B49C222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qFormat/>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qFormat/>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8F208F"/>
    <w:rPr>
      <w:position w:val="6"/>
      <w:sz w:val="18"/>
    </w:rPr>
  </w:style>
  <w:style w:type="paragraph" w:styleId="FootnoteText">
    <w:name w:val="footnote text"/>
    <w:basedOn w:val="Normal"/>
    <w:link w:val="FootnoteTextChar"/>
    <w:qFormat/>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BD2748"/>
    <w:pPr>
      <w:spacing w:after="240"/>
      <w:jc w:val="center"/>
    </w:pPr>
  </w:style>
  <w:style w:type="character" w:styleId="PageNumber">
    <w:name w:val="page number"/>
    <w:basedOn w:val="DefaultParagraphFont"/>
    <w:rsid w:val="00E63C59"/>
  </w:style>
  <w:style w:type="paragraph" w:customStyle="1" w:styleId="Figuretitle">
    <w:name w:val="Figure_title"/>
    <w:basedOn w:val="Normal"/>
    <w:next w:val="Normal"/>
    <w:link w:val="FiguretitleChar"/>
    <w:rsid w:val="00BD2748"/>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qForma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FiguretitleChar">
    <w:name w:val="Figure_title Char"/>
    <w:basedOn w:val="DefaultParagraphFont"/>
    <w:link w:val="Figuretitle"/>
    <w:rsid w:val="00BD2748"/>
    <w:rPr>
      <w:rFonts w:ascii="Times New Roman Bold" w:hAnsi="Times New Roman Bold"/>
      <w:b/>
      <w:lang w:val="en-GB" w:eastAsia="en-US"/>
    </w:rPr>
  </w:style>
  <w:style w:type="table" w:customStyle="1" w:styleId="TableGrid8">
    <w:name w:val="Table Grid8"/>
    <w:basedOn w:val="TableNormal"/>
    <w:uiPriority w:val="39"/>
    <w:qFormat/>
    <w:rsid w:val="0087356F"/>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87356F"/>
    <w:rPr>
      <w:rFonts w:ascii="Times New Roman" w:hAnsi="Times New Roman"/>
      <w:sz w:val="24"/>
      <w:lang w:val="en-GB" w:eastAsia="en-US"/>
    </w:rPr>
  </w:style>
  <w:style w:type="character" w:styleId="Hyperlink">
    <w:name w:val="Hyperlink"/>
    <w:basedOn w:val="DefaultParagraphFont"/>
    <w:unhideWhenUsed/>
    <w:rsid w:val="00A93B29"/>
    <w:rPr>
      <w:color w:val="0000FF" w:themeColor="hyperlink"/>
      <w:u w:val="single"/>
    </w:rPr>
  </w:style>
  <w:style w:type="character" w:styleId="UnresolvedMention">
    <w:name w:val="Unresolved Mention"/>
    <w:basedOn w:val="DefaultParagraphFont"/>
    <w:uiPriority w:val="99"/>
    <w:semiHidden/>
    <w:unhideWhenUsed/>
    <w:rsid w:val="00A93B29"/>
    <w:rPr>
      <w:color w:val="605E5C"/>
      <w:shd w:val="clear" w:color="auto" w:fill="E1DFDD"/>
    </w:rPr>
  </w:style>
  <w:style w:type="paragraph" w:styleId="BalloonText">
    <w:name w:val="Balloon Text"/>
    <w:basedOn w:val="Normal"/>
    <w:link w:val="BalloonTextChar"/>
    <w:semiHidden/>
    <w:unhideWhenUsed/>
    <w:rsid w:val="00B85CD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85CD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M.2320-20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we.loewenstein@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9321-73B2-48A0-BB11-E9347B1A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Chamova, Alisa</dc:creator>
  <cp:lastModifiedBy>Loewenstein, Uwe</cp:lastModifiedBy>
  <cp:revision>6</cp:revision>
  <cp:lastPrinted>2008-02-21T14:04:00Z</cp:lastPrinted>
  <dcterms:created xsi:type="dcterms:W3CDTF">2020-10-27T12:09:00Z</dcterms:created>
  <dcterms:modified xsi:type="dcterms:W3CDTF">2020-10-27T12:21:00Z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